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52F1" w14:textId="77777777" w:rsidR="00C53DA9" w:rsidRPr="00C53DA9" w:rsidRDefault="00704E63" w:rsidP="00C53DA9">
      <w:pPr>
        <w:spacing w:after="120" w:line="276" w:lineRule="auto"/>
        <w:ind w:left="709" w:hanging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</w:t>
      </w:r>
      <w:r w:rsidR="00C53DA9">
        <w:rPr>
          <w:b/>
          <w:bCs/>
          <w:i/>
          <w:iCs/>
          <w:sz w:val="24"/>
          <w:szCs w:val="24"/>
        </w:rPr>
        <w:t>4.1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C53DA9" w:rsidRPr="00C53DA9">
        <w:rPr>
          <w:b/>
          <w:bCs/>
          <w:i/>
          <w:iCs/>
          <w:sz w:val="24"/>
          <w:szCs w:val="24"/>
        </w:rPr>
        <w:t>Average percentage of expenditure incurred on maintenance of infrastructure (physical and academic support facilities) excluding salary component during the last five years (INR in Lakhs)</w:t>
      </w:r>
    </w:p>
    <w:p w14:paraId="6E21D05F" w14:textId="77777777" w:rsidR="00BA1588" w:rsidRPr="00C53DA9" w:rsidRDefault="00C53DA9" w:rsidP="00C53DA9">
      <w:pPr>
        <w:spacing w:after="120" w:line="276" w:lineRule="auto"/>
        <w:ind w:left="1560" w:hanging="851"/>
        <w:jc w:val="both"/>
        <w:rPr>
          <w:bCs/>
          <w:iCs/>
          <w:sz w:val="24"/>
          <w:szCs w:val="24"/>
        </w:rPr>
      </w:pPr>
      <w:r w:rsidRPr="00C53DA9">
        <w:rPr>
          <w:bCs/>
          <w:iCs/>
          <w:sz w:val="24"/>
          <w:szCs w:val="24"/>
        </w:rPr>
        <w:t>4.4.1.1. Expenditure incurred on maintenance of infrastructure (physical facilities and academic support facilities) excluding salary component year wise during the last five years (INR in lakhs)</w:t>
      </w:r>
      <w:r w:rsidR="00BA1588" w:rsidRPr="00C53DA9">
        <w:rPr>
          <w:bCs/>
          <w:iCs/>
          <w:sz w:val="24"/>
          <w:szCs w:val="24"/>
        </w:rPr>
        <w:t xml:space="preserve">  </w:t>
      </w:r>
    </w:p>
    <w:p w14:paraId="2243D123" w14:textId="77777777" w:rsidR="006E4CB6" w:rsidRDefault="006E4CB6" w:rsidP="002A6FE4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</w:p>
    <w:p w14:paraId="1EBAF2AD" w14:textId="77777777" w:rsidR="002A6FE4" w:rsidRPr="00AD3A73" w:rsidRDefault="002A6FE4" w:rsidP="002A6FE4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A6FE4" w:rsidRPr="00AD3A73" w14:paraId="38ABF8A4" w14:textId="77777777" w:rsidTr="000E1853">
        <w:trPr>
          <w:trHeight w:val="510"/>
        </w:trPr>
        <w:tc>
          <w:tcPr>
            <w:tcW w:w="959" w:type="dxa"/>
          </w:tcPr>
          <w:p w14:paraId="04FC8ADA" w14:textId="77777777"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</w:tcPr>
          <w:p w14:paraId="676782EB" w14:textId="77777777"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</w:tcPr>
          <w:p w14:paraId="09165448" w14:textId="77777777"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2A6FE4" w:rsidRPr="00AD3A73" w14:paraId="3344DDAE" w14:textId="77777777" w:rsidTr="000E1853">
        <w:trPr>
          <w:trHeight w:val="454"/>
        </w:trPr>
        <w:tc>
          <w:tcPr>
            <w:tcW w:w="959" w:type="dxa"/>
          </w:tcPr>
          <w:p w14:paraId="386E850B" w14:textId="77777777"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14:paraId="02F2CC32" w14:textId="77777777" w:rsidR="002A6FE4" w:rsidRPr="00AD3A73" w:rsidRDefault="00C5028C" w:rsidP="000E185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5028C">
              <w:rPr>
                <w:rFonts w:cstheme="minorBidi"/>
                <w:sz w:val="24"/>
                <w:szCs w:val="24"/>
                <w:lang w:bidi="ar-SA"/>
              </w:rPr>
              <w:t>Expenditure Incurred on Maintenance of Infrastructure</w:t>
            </w:r>
          </w:p>
        </w:tc>
        <w:tc>
          <w:tcPr>
            <w:tcW w:w="1054" w:type="dxa"/>
          </w:tcPr>
          <w:p w14:paraId="37903B6F" w14:textId="77777777"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2A6FE4" w:rsidRPr="00AD3A73" w14:paraId="6BE2F1D1" w14:textId="77777777" w:rsidTr="000E1853">
        <w:trPr>
          <w:trHeight w:val="454"/>
        </w:trPr>
        <w:tc>
          <w:tcPr>
            <w:tcW w:w="959" w:type="dxa"/>
          </w:tcPr>
          <w:p w14:paraId="73F92A35" w14:textId="77777777"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14:paraId="38D536D4" w14:textId="77777777" w:rsidR="002A6FE4" w:rsidRPr="00131C84" w:rsidRDefault="00C5028C" w:rsidP="000E1853">
            <w:pPr>
              <w:spacing w:line="312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5028C">
              <w:rPr>
                <w:rFonts w:cstheme="minorBidi"/>
                <w:sz w:val="24"/>
                <w:szCs w:val="24"/>
                <w:lang w:bidi="ar-SA"/>
              </w:rPr>
              <w:t>Link for Audit Statement</w:t>
            </w:r>
          </w:p>
        </w:tc>
        <w:tc>
          <w:tcPr>
            <w:tcW w:w="1054" w:type="dxa"/>
          </w:tcPr>
          <w:p w14:paraId="66A53B5B" w14:textId="77777777" w:rsidR="002A6FE4" w:rsidRDefault="002A6FE4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</w:tbl>
    <w:p w14:paraId="7C63BE02" w14:textId="77777777" w:rsidR="006E4CB6" w:rsidRDefault="006E4CB6" w:rsidP="006E4CB6">
      <w:pPr>
        <w:pStyle w:val="ListParagraph"/>
        <w:spacing w:before="360" w:after="480" w:line="276" w:lineRule="auto"/>
        <w:ind w:left="425"/>
        <w:contextualSpacing w:val="0"/>
        <w:jc w:val="both"/>
        <w:rPr>
          <w:rStyle w:val="hgkelc"/>
          <w:b/>
          <w:sz w:val="32"/>
          <w:szCs w:val="32"/>
        </w:rPr>
      </w:pPr>
    </w:p>
    <w:p w14:paraId="197D3FE6" w14:textId="77777777" w:rsidR="00E53853" w:rsidRPr="00C5028C" w:rsidRDefault="00E53853" w:rsidP="00C5028C">
      <w:pPr>
        <w:pStyle w:val="ListParagraph"/>
        <w:numPr>
          <w:ilvl w:val="0"/>
          <w:numId w:val="18"/>
        </w:numPr>
        <w:spacing w:before="360" w:after="120" w:line="276" w:lineRule="auto"/>
        <w:ind w:left="426" w:hanging="426"/>
        <w:jc w:val="both"/>
        <w:rPr>
          <w:rStyle w:val="hgkelc"/>
          <w:b/>
          <w:sz w:val="32"/>
          <w:szCs w:val="32"/>
        </w:rPr>
      </w:pPr>
      <w:r w:rsidRPr="00C5028C">
        <w:rPr>
          <w:rStyle w:val="hgkelc"/>
          <w:b/>
          <w:sz w:val="32"/>
          <w:szCs w:val="32"/>
        </w:rPr>
        <w:t xml:space="preserve">Expenditure Incurred on Maintenance of Infrastructure </w:t>
      </w:r>
    </w:p>
    <w:p w14:paraId="7509270E" w14:textId="77777777" w:rsidR="00BA1588" w:rsidRPr="00E53853" w:rsidRDefault="00C5028C" w:rsidP="00E53853">
      <w:pPr>
        <w:spacing w:after="120" w:line="276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 xml:space="preserve">Institute incurred expenditure on maintenance of infrastructure, laboratory, sport and cultural facilities etc. to keep ready in working and usable condition. </w:t>
      </w:r>
      <w:r w:rsidR="006E4CB6" w:rsidRPr="006E4CB6">
        <w:rPr>
          <w:rStyle w:val="hgkelc"/>
          <w:sz w:val="24"/>
          <w:szCs w:val="24"/>
        </w:rPr>
        <w:t>Average percentage of expenditure incurred on maintenance of infrastructure</w:t>
      </w:r>
      <w:r w:rsidR="006E4CB6">
        <w:rPr>
          <w:rStyle w:val="hgkelc"/>
          <w:sz w:val="24"/>
          <w:szCs w:val="24"/>
        </w:rPr>
        <w:t xml:space="preserve"> in last five years is near about 783.95 Lakhs of INR. </w:t>
      </w:r>
      <w:r>
        <w:rPr>
          <w:rStyle w:val="hgkelc"/>
          <w:sz w:val="24"/>
          <w:szCs w:val="24"/>
        </w:rPr>
        <w:t>Table below summarizes the a</w:t>
      </w:r>
      <w:r w:rsidR="00E53853" w:rsidRPr="00E53853">
        <w:rPr>
          <w:rStyle w:val="hgkelc"/>
          <w:sz w:val="24"/>
          <w:szCs w:val="24"/>
        </w:rPr>
        <w:t xml:space="preserve">verage percentage of expenditure incurred on maintenance of infrastructure (physical and academic support facilities) excluding salary component during the last five years (INR in Lakhs) </w:t>
      </w:r>
      <w:r>
        <w:rPr>
          <w:rStyle w:val="hgkelc"/>
          <w:sz w:val="24"/>
          <w:szCs w:val="24"/>
        </w:rPr>
        <w:t>by the Institute.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23"/>
        <w:gridCol w:w="876"/>
        <w:gridCol w:w="876"/>
        <w:gridCol w:w="876"/>
        <w:gridCol w:w="876"/>
        <w:gridCol w:w="876"/>
        <w:gridCol w:w="939"/>
      </w:tblGrid>
      <w:tr w:rsidR="00E53853" w:rsidRPr="00E53853" w14:paraId="6922A0A2" w14:textId="77777777" w:rsidTr="00E53853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2C2F61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2060"/>
                <w:sz w:val="24"/>
                <w:szCs w:val="24"/>
                <w:lang w:val="en-IN" w:eastAsia="en-IN" w:bidi="ar-SA"/>
              </w:rPr>
              <w:t>Average percentage of expenditure incurred on maintenance of infrastructure (physical and academic support facilities) excluding salary component during the last five years(INR in Lakhs)</w:t>
            </w:r>
          </w:p>
        </w:tc>
      </w:tr>
      <w:tr w:rsidR="00E53853" w:rsidRPr="00E53853" w14:paraId="09E6CE47" w14:textId="77777777" w:rsidTr="00E53853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658D" w14:textId="77777777" w:rsidR="00E53853" w:rsidRPr="00E53853" w:rsidRDefault="00E53853" w:rsidP="00E53853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39D857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15-16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2D8734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16-17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7A8AAA3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17-18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CA6F366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18-19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BD47523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19-20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9E7476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Avg. % for last five years</w:t>
            </w:r>
          </w:p>
        </w:tc>
      </w:tr>
      <w:tr w:rsidR="00E53853" w:rsidRPr="00E53853" w14:paraId="3E31726C" w14:textId="77777777" w:rsidTr="00E53853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684338F" w14:textId="77777777" w:rsidR="00E53853" w:rsidRPr="00E53853" w:rsidRDefault="00E53853" w:rsidP="00E53853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Expenditure on maintenance of infrastructure(INR in Lakhs)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F6E0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91.72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C804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104.42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16BA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134.30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85CE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132.58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1E6E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140.04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3FB3" w14:textId="77777777" w:rsidR="00E53853" w:rsidRPr="00E53853" w:rsidRDefault="00E53853" w:rsidP="00E53853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</w:p>
        </w:tc>
      </w:tr>
      <w:tr w:rsidR="00E53853" w:rsidRPr="00E53853" w14:paraId="5C2AC87E" w14:textId="77777777" w:rsidTr="00E53853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9FF5C26" w14:textId="77777777" w:rsidR="00E53853" w:rsidRPr="00E53853" w:rsidRDefault="00E53853" w:rsidP="00E53853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Total expenditure excluding Salary (INR in Lakhs)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D926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604.14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5B40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667.81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4EC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802.90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74C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937.50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7839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907.40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05D7" w14:textId="77777777" w:rsidR="00E53853" w:rsidRPr="00E53853" w:rsidRDefault="00E53853" w:rsidP="00E53853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</w:p>
        </w:tc>
      </w:tr>
      <w:tr w:rsidR="00E53853" w:rsidRPr="00E53853" w14:paraId="769F3448" w14:textId="77777777" w:rsidTr="00E53853">
        <w:trPr>
          <w:trHeight w:val="680"/>
        </w:trPr>
        <w:tc>
          <w:tcPr>
            <w:tcW w:w="2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5A7D3D" w14:textId="77777777" w:rsidR="00E53853" w:rsidRPr="00E53853" w:rsidRDefault="00E53853" w:rsidP="00E53853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% expenditure, excluding salary on maintenance of infrastructure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836EF1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15.18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43EF09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15.64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362427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16.73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15DDFB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14.14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F1E318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color w:val="000000"/>
                <w:sz w:val="24"/>
                <w:szCs w:val="24"/>
                <w:lang w:val="en-IN" w:eastAsia="en-IN" w:bidi="ar-SA"/>
              </w:rPr>
              <w:t>15.43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BA1BB67" w14:textId="77777777" w:rsidR="00E53853" w:rsidRPr="00E53853" w:rsidRDefault="00E53853" w:rsidP="00E5385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E5385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15.42</w:t>
            </w:r>
          </w:p>
        </w:tc>
      </w:tr>
    </w:tbl>
    <w:p w14:paraId="54A5B480" w14:textId="77777777" w:rsidR="00BA1588" w:rsidRDefault="00BA1588" w:rsidP="00C469B9">
      <w:pPr>
        <w:spacing w:after="120" w:line="276" w:lineRule="auto"/>
        <w:jc w:val="both"/>
        <w:rPr>
          <w:noProof/>
          <w:lang w:val="en-IN" w:eastAsia="en-IN" w:bidi="ar-SA"/>
        </w:rPr>
      </w:pPr>
    </w:p>
    <w:p w14:paraId="740A8690" w14:textId="77777777" w:rsidR="00E53853" w:rsidRPr="00E53853" w:rsidRDefault="00E53853" w:rsidP="00E53853">
      <w:pPr>
        <w:spacing w:after="120" w:line="276" w:lineRule="auto"/>
        <w:jc w:val="center"/>
        <w:rPr>
          <w:rStyle w:val="hgkelc"/>
          <w:sz w:val="24"/>
          <w:szCs w:val="24"/>
        </w:rPr>
      </w:pPr>
      <w:r>
        <w:rPr>
          <w:noProof/>
          <w:lang w:val="en-IN" w:eastAsia="en-IN" w:bidi="ar-SA"/>
        </w:rPr>
        <w:lastRenderedPageBreak/>
        <w:drawing>
          <wp:inline distT="0" distB="0" distL="0" distR="0" wp14:anchorId="574494BF" wp14:editId="7D0B4337">
            <wp:extent cx="4737100" cy="2270125"/>
            <wp:effectExtent l="0" t="0" r="25400" b="1587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D92A03" w14:textId="77777777" w:rsidR="000E1853" w:rsidRDefault="00C5028C" w:rsidP="00C5028C">
      <w:pPr>
        <w:pStyle w:val="ListParagraph"/>
        <w:numPr>
          <w:ilvl w:val="0"/>
          <w:numId w:val="18"/>
        </w:numPr>
        <w:spacing w:before="360" w:after="120" w:line="276" w:lineRule="auto"/>
        <w:ind w:left="425" w:hanging="425"/>
        <w:jc w:val="both"/>
        <w:rPr>
          <w:rStyle w:val="hgkelc"/>
          <w:b/>
          <w:sz w:val="32"/>
          <w:szCs w:val="32"/>
        </w:rPr>
      </w:pPr>
      <w:r>
        <w:rPr>
          <w:rStyle w:val="hgkelc"/>
          <w:b/>
          <w:sz w:val="32"/>
          <w:szCs w:val="32"/>
        </w:rPr>
        <w:t xml:space="preserve">Link for </w:t>
      </w:r>
      <w:r w:rsidRPr="00C5028C">
        <w:rPr>
          <w:rStyle w:val="hgkelc"/>
          <w:b/>
          <w:sz w:val="32"/>
          <w:szCs w:val="32"/>
        </w:rPr>
        <w:t xml:space="preserve">Audit Statement </w:t>
      </w:r>
    </w:p>
    <w:p w14:paraId="702D9DE9" w14:textId="77777777" w:rsidR="00C5028C" w:rsidRPr="00C5028C" w:rsidRDefault="00C5028C" w:rsidP="00C5028C">
      <w:pPr>
        <w:spacing w:after="120" w:line="276" w:lineRule="auto"/>
        <w:jc w:val="both"/>
        <w:rPr>
          <w:rStyle w:val="hgkelc"/>
          <w:color w:val="FF0000"/>
          <w:sz w:val="24"/>
          <w:szCs w:val="24"/>
        </w:rPr>
      </w:pPr>
      <w:r w:rsidRPr="00C5028C">
        <w:rPr>
          <w:rStyle w:val="hgkelc"/>
          <w:sz w:val="24"/>
          <w:szCs w:val="24"/>
        </w:rPr>
        <w:t xml:space="preserve">The </w:t>
      </w:r>
      <w:r>
        <w:rPr>
          <w:rStyle w:val="hgkelc"/>
          <w:sz w:val="24"/>
          <w:szCs w:val="24"/>
        </w:rPr>
        <w:t>T</w:t>
      </w:r>
      <w:r w:rsidRPr="00C5028C">
        <w:rPr>
          <w:rStyle w:val="hgkelc"/>
          <w:sz w:val="24"/>
          <w:szCs w:val="24"/>
        </w:rPr>
        <w:t xml:space="preserve">able given below has the Links for the </w:t>
      </w:r>
      <w:r w:rsidRPr="00C5028C">
        <w:rPr>
          <w:rStyle w:val="hgkelc"/>
          <w:b/>
          <w:sz w:val="24"/>
          <w:szCs w:val="24"/>
        </w:rPr>
        <w:t>audit report</w:t>
      </w:r>
      <w:r w:rsidRPr="00C5028C">
        <w:rPr>
          <w:rStyle w:val="hgkelc"/>
          <w:sz w:val="24"/>
          <w:szCs w:val="24"/>
        </w:rPr>
        <w:t xml:space="preserve"> for last five year. The entry of expenditure incurred by the institute on the infrastructure maintenance on all the audit report are marked with </w:t>
      </w:r>
      <w:r w:rsidRPr="00C5028C">
        <w:rPr>
          <w:rStyle w:val="hgkelc"/>
          <w:color w:val="FF0000"/>
          <w:sz w:val="24"/>
          <w:szCs w:val="24"/>
        </w:rPr>
        <w:t>-------color.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C5028C" w:rsidRPr="00C5028C" w14:paraId="38FCD6BC" w14:textId="77777777" w:rsidTr="00321057">
        <w:trPr>
          <w:trHeight w:val="397"/>
        </w:trPr>
        <w:tc>
          <w:tcPr>
            <w:tcW w:w="559" w:type="pct"/>
          </w:tcPr>
          <w:p w14:paraId="210FF845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14:paraId="7CB43605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14:paraId="28895E8C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eastAsia="Calibri"/>
                <w:b/>
                <w:sz w:val="24"/>
                <w:szCs w:val="24"/>
                <w:lang w:bidi="ar-SA"/>
              </w:rPr>
              <w:t>Link to open</w:t>
            </w:r>
          </w:p>
        </w:tc>
      </w:tr>
      <w:tr w:rsidR="00C5028C" w:rsidRPr="00C5028C" w14:paraId="7A072EB7" w14:textId="77777777" w:rsidTr="00321057">
        <w:trPr>
          <w:trHeight w:val="397"/>
        </w:trPr>
        <w:tc>
          <w:tcPr>
            <w:tcW w:w="559" w:type="pct"/>
          </w:tcPr>
          <w:p w14:paraId="56C6B4C6" w14:textId="77777777"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2011FEE7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5E7D14" w:rsidRPr="005E7D14">
              <w:rPr>
                <w:rFonts w:ascii="Book Antiqua" w:hAnsi="Book Antiqua"/>
                <w:bCs/>
                <w:iCs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15-16</w:t>
            </w:r>
          </w:p>
        </w:tc>
        <w:tc>
          <w:tcPr>
            <w:tcW w:w="2411" w:type="pct"/>
          </w:tcPr>
          <w:p w14:paraId="6D6C97C4" w14:textId="030C2E87" w:rsidR="00C5028C" w:rsidRPr="00C5028C" w:rsidRDefault="00D25463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9" w:history="1">
              <w:r w:rsidR="00BB0017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E7557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C5028C" w:rsidRPr="00C5028C" w14:paraId="514A5D99" w14:textId="77777777" w:rsidTr="00321057">
        <w:trPr>
          <w:trHeight w:val="397"/>
        </w:trPr>
        <w:tc>
          <w:tcPr>
            <w:tcW w:w="559" w:type="pct"/>
          </w:tcPr>
          <w:p w14:paraId="00980DB5" w14:textId="77777777"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64528988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5E7D14" w:rsidRPr="005E7D14">
              <w:rPr>
                <w:rFonts w:ascii="Book Antiqua" w:hAnsi="Book Antiqua"/>
                <w:bCs/>
                <w:iCs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16-17</w:t>
            </w:r>
          </w:p>
        </w:tc>
        <w:tc>
          <w:tcPr>
            <w:tcW w:w="2411" w:type="pct"/>
          </w:tcPr>
          <w:p w14:paraId="4D7309C3" w14:textId="47C7A1BD" w:rsidR="00C5028C" w:rsidRPr="00C5028C" w:rsidRDefault="00D25463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0" w:history="1">
              <w:r w:rsidR="00BB0017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E7557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C5028C" w:rsidRPr="00C5028C" w14:paraId="0FAF5BE8" w14:textId="77777777" w:rsidTr="00321057">
        <w:trPr>
          <w:trHeight w:val="397"/>
        </w:trPr>
        <w:tc>
          <w:tcPr>
            <w:tcW w:w="559" w:type="pct"/>
          </w:tcPr>
          <w:p w14:paraId="2CF595AB" w14:textId="77777777"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647B87DA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5E7D14" w:rsidRPr="005E7D14">
              <w:rPr>
                <w:rFonts w:ascii="Book Antiqua" w:hAnsi="Book Antiqua"/>
                <w:bCs/>
                <w:iCs/>
                <w:sz w:val="24"/>
                <w:szCs w:val="24"/>
              </w:rPr>
              <w:t>Statement</w:t>
            </w: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17-18</w:t>
            </w:r>
          </w:p>
        </w:tc>
        <w:tc>
          <w:tcPr>
            <w:tcW w:w="2411" w:type="pct"/>
          </w:tcPr>
          <w:p w14:paraId="7217A204" w14:textId="07960580" w:rsidR="00C5028C" w:rsidRPr="00C5028C" w:rsidRDefault="00D25463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1" w:history="1">
              <w:r w:rsidR="00BB0017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E7557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C5028C" w:rsidRPr="00C5028C" w14:paraId="60884349" w14:textId="77777777" w:rsidTr="00321057">
        <w:trPr>
          <w:trHeight w:val="397"/>
        </w:trPr>
        <w:tc>
          <w:tcPr>
            <w:tcW w:w="559" w:type="pct"/>
          </w:tcPr>
          <w:p w14:paraId="55658ED9" w14:textId="77777777"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3426042F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5E7D14" w:rsidRPr="005E7D14">
              <w:rPr>
                <w:rFonts w:ascii="Book Antiqua" w:hAnsi="Book Antiqua"/>
                <w:bCs/>
                <w:iCs/>
                <w:sz w:val="24"/>
                <w:szCs w:val="24"/>
              </w:rPr>
              <w:t>Statement</w:t>
            </w:r>
            <w:r w:rsidR="005E7D14"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18-19</w:t>
            </w:r>
          </w:p>
        </w:tc>
        <w:tc>
          <w:tcPr>
            <w:tcW w:w="2411" w:type="pct"/>
          </w:tcPr>
          <w:p w14:paraId="317B4163" w14:textId="77EE9739" w:rsidR="00C5028C" w:rsidRPr="00C5028C" w:rsidRDefault="00D25463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2" w:history="1">
              <w:r w:rsidR="00BB0017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E7557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C5028C" w:rsidRPr="00C5028C" w14:paraId="4D770D04" w14:textId="77777777" w:rsidTr="00321057">
        <w:trPr>
          <w:trHeight w:val="397"/>
        </w:trPr>
        <w:tc>
          <w:tcPr>
            <w:tcW w:w="559" w:type="pct"/>
          </w:tcPr>
          <w:p w14:paraId="668A3CEE" w14:textId="77777777" w:rsidR="00C5028C" w:rsidRPr="00C5028C" w:rsidRDefault="00C5028C" w:rsidP="00C5028C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14:paraId="60506880" w14:textId="77777777" w:rsidR="00C5028C" w:rsidRPr="00C5028C" w:rsidRDefault="00C5028C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C5028C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Audit </w:t>
            </w:r>
            <w:r w:rsidR="005E7D14" w:rsidRPr="005E7D14">
              <w:rPr>
                <w:rFonts w:ascii="Book Antiqua" w:hAnsi="Book Antiqua"/>
                <w:bCs/>
                <w:iCs/>
                <w:sz w:val="24"/>
                <w:szCs w:val="24"/>
              </w:rPr>
              <w:t>Statement</w:t>
            </w:r>
            <w:r w:rsidR="005E7D14"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 xml:space="preserve"> </w:t>
            </w:r>
            <w:r w:rsidRPr="00C5028C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19-20</w:t>
            </w:r>
          </w:p>
        </w:tc>
        <w:tc>
          <w:tcPr>
            <w:tcW w:w="2411" w:type="pct"/>
          </w:tcPr>
          <w:p w14:paraId="07C5E1E0" w14:textId="47C23909" w:rsidR="00C5028C" w:rsidRPr="00C5028C" w:rsidRDefault="00D25463" w:rsidP="00C5028C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3" w:history="1">
              <w:r w:rsidR="00BB0017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  <w:r w:rsidR="00CE7557">
              <w:rPr>
                <w:rFonts w:eastAsia="Calibri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6B3B2698" w14:textId="77777777" w:rsidR="00C5028C" w:rsidRPr="00C5028C" w:rsidRDefault="00C5028C" w:rsidP="00C5028C">
      <w:pPr>
        <w:spacing w:after="120" w:line="276" w:lineRule="auto"/>
        <w:jc w:val="both"/>
        <w:rPr>
          <w:rStyle w:val="hgkelc"/>
          <w:sz w:val="24"/>
          <w:szCs w:val="24"/>
        </w:rPr>
      </w:pPr>
    </w:p>
    <w:sectPr w:rsidR="00C5028C" w:rsidRPr="00C5028C" w:rsidSect="00C53134">
      <w:headerReference w:type="default" r:id="rId14"/>
      <w:footerReference w:type="default" r:id="rId15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DE50" w14:textId="77777777" w:rsidR="00D25463" w:rsidRDefault="00D25463" w:rsidP="00C53134">
      <w:r>
        <w:separator/>
      </w:r>
    </w:p>
  </w:endnote>
  <w:endnote w:type="continuationSeparator" w:id="0">
    <w:p w14:paraId="44840EF0" w14:textId="77777777" w:rsidR="00D25463" w:rsidRDefault="00D25463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D0ECE" w14:textId="77777777"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D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DD5A5" w14:textId="77777777"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0116" w14:textId="77777777" w:rsidR="00D25463" w:rsidRDefault="00D25463" w:rsidP="00C53134">
      <w:r>
        <w:separator/>
      </w:r>
    </w:p>
  </w:footnote>
  <w:footnote w:type="continuationSeparator" w:id="0">
    <w:p w14:paraId="7EE6193F" w14:textId="77777777" w:rsidR="00D25463" w:rsidRDefault="00D25463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14:paraId="30D60927" w14:textId="77777777" w:rsidTr="00C53134">
      <w:trPr>
        <w:trHeight w:val="1343"/>
      </w:trPr>
      <w:tc>
        <w:tcPr>
          <w:tcW w:w="1668" w:type="dxa"/>
        </w:tcPr>
        <w:p w14:paraId="2AC2E9E1" w14:textId="77777777"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 w:bidi="ar-SA"/>
            </w:rPr>
            <w:drawing>
              <wp:inline distT="0" distB="0" distL="0" distR="0" wp14:anchorId="0D798FD7" wp14:editId="0B8FE242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12931D41" w14:textId="77777777"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14:paraId="1E29DC09" w14:textId="77777777"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9F7"/>
    <w:multiLevelType w:val="hybridMultilevel"/>
    <w:tmpl w:val="8E06F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5036"/>
    <w:multiLevelType w:val="hybridMultilevel"/>
    <w:tmpl w:val="C038B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 w15:restartNumberingAfterBreak="0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D0ED7"/>
    <w:multiLevelType w:val="hybridMultilevel"/>
    <w:tmpl w:val="F8208B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15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134"/>
    <w:rsid w:val="000A5A77"/>
    <w:rsid w:val="000D07F4"/>
    <w:rsid w:val="000E1853"/>
    <w:rsid w:val="00131C84"/>
    <w:rsid w:val="00152E5E"/>
    <w:rsid w:val="001863C4"/>
    <w:rsid w:val="002331BA"/>
    <w:rsid w:val="00264A94"/>
    <w:rsid w:val="002A6FE4"/>
    <w:rsid w:val="002F2010"/>
    <w:rsid w:val="003217BD"/>
    <w:rsid w:val="0038588A"/>
    <w:rsid w:val="003871A4"/>
    <w:rsid w:val="003A0B4B"/>
    <w:rsid w:val="003C44F7"/>
    <w:rsid w:val="003D6A7D"/>
    <w:rsid w:val="004559A9"/>
    <w:rsid w:val="00465B53"/>
    <w:rsid w:val="004B7918"/>
    <w:rsid w:val="004C4E06"/>
    <w:rsid w:val="004F3759"/>
    <w:rsid w:val="005E7D14"/>
    <w:rsid w:val="00642C6F"/>
    <w:rsid w:val="006D3167"/>
    <w:rsid w:val="006E4CB6"/>
    <w:rsid w:val="00704E63"/>
    <w:rsid w:val="00792B9F"/>
    <w:rsid w:val="007D30BB"/>
    <w:rsid w:val="00857928"/>
    <w:rsid w:val="009C18DA"/>
    <w:rsid w:val="00A06CD5"/>
    <w:rsid w:val="00A24527"/>
    <w:rsid w:val="00AA1D42"/>
    <w:rsid w:val="00AD3A73"/>
    <w:rsid w:val="00AE00E8"/>
    <w:rsid w:val="00BA11DF"/>
    <w:rsid w:val="00BA1588"/>
    <w:rsid w:val="00BB0017"/>
    <w:rsid w:val="00BD6B5E"/>
    <w:rsid w:val="00C21512"/>
    <w:rsid w:val="00C2315A"/>
    <w:rsid w:val="00C469B9"/>
    <w:rsid w:val="00C5028C"/>
    <w:rsid w:val="00C53134"/>
    <w:rsid w:val="00C53DA9"/>
    <w:rsid w:val="00C9766E"/>
    <w:rsid w:val="00CB0AA0"/>
    <w:rsid w:val="00CB4924"/>
    <w:rsid w:val="00CE7557"/>
    <w:rsid w:val="00CE76FE"/>
    <w:rsid w:val="00D058AA"/>
    <w:rsid w:val="00D25463"/>
    <w:rsid w:val="00D80780"/>
    <w:rsid w:val="00E271C0"/>
    <w:rsid w:val="00E53853"/>
    <w:rsid w:val="00EB56D9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743A"/>
  <w15:docId w15:val="{CCE0341B-6025-4E23-8BF6-3DF3E1CA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6FE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E27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7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avcoe.org/NAAC/CR-4/4.4.1/Audit%20Report%202019-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4/4.4.1/Audit%20Report%202018-1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4/4.4.1/Audit%20Report%202017-18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vcoe.org/NAAC/CR-4/4.4.1/Audit%20Report%202016-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4/4.4.1/Audit%20Report%202015-16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3701737349855397"/>
          <c:y val="0"/>
        </c:manualLayout>
      </c:layout>
      <c:overlay val="0"/>
      <c:txPr>
        <a:bodyPr/>
        <a:lstStyle/>
        <a:p>
          <a:pPr>
            <a:defRPr sz="11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summary441!$B$6</c:f>
              <c:strCache>
                <c:ptCount val="1"/>
                <c:pt idx="0">
                  <c:v>% Expenditure, excluding salary on Maintenance of Infrastructure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86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565E-4B16-85F6-CCF41C79AC36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6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65E-4B16-85F6-CCF41C79AC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summary441!$C$2:$H$3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% for last five years</c:v>
                </c:pt>
              </c:strCache>
            </c:strRef>
          </c:cat>
          <c:val>
            <c:numRef>
              <c:f>summary441!$C$6:$H$6</c:f>
              <c:numCache>
                <c:formatCode>0.00</c:formatCode>
                <c:ptCount val="6"/>
                <c:pt idx="0">
                  <c:v>15.182564652517575</c:v>
                </c:pt>
                <c:pt idx="1">
                  <c:v>15.635711949939401</c:v>
                </c:pt>
                <c:pt idx="2">
                  <c:v>16.727296006584151</c:v>
                </c:pt>
                <c:pt idx="3">
                  <c:v>14.141355647350187</c:v>
                </c:pt>
                <c:pt idx="4">
                  <c:v>15.432657314418654</c:v>
                </c:pt>
                <c:pt idx="5">
                  <c:v>15.423917114161995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5E-4B16-85F6-CCF41C79AC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5795456"/>
        <c:axId val="135798144"/>
      </c:barChart>
      <c:catAx>
        <c:axId val="135795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798144"/>
        <c:crosses val="autoZero"/>
        <c:auto val="1"/>
        <c:lblAlgn val="ctr"/>
        <c:lblOffset val="100"/>
        <c:noMultiLvlLbl val="0"/>
      </c:catAx>
      <c:valAx>
        <c:axId val="1357981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</a:t>
                </a:r>
              </a:p>
            </c:rich>
          </c:tx>
          <c:layout>
            <c:manualLayout>
              <c:xMode val="edge"/>
              <c:yMode val="edge"/>
              <c:x val="1.0723860589812333E-2"/>
              <c:y val="0.44280865591101809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1357954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B5D7-4924-4404-B84E-474D078C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Mahesh Gunjal</cp:lastModifiedBy>
  <cp:revision>20</cp:revision>
  <dcterms:created xsi:type="dcterms:W3CDTF">2021-03-31T00:29:00Z</dcterms:created>
  <dcterms:modified xsi:type="dcterms:W3CDTF">2021-04-18T04:32:00Z</dcterms:modified>
</cp:coreProperties>
</file>