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E87777" w14:textId="77777777" w:rsidR="004C3D1F" w:rsidRPr="004C3D1F" w:rsidRDefault="00595E17" w:rsidP="00EE7B5C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1E11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5</w:t>
      </w:r>
      <w:r w:rsidR="00CC2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0A4E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46BDA" w:rsidRP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0A4E60" w:rsidRPr="000A4E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Mechanism to deal with internal/external examination related grievances is transparent, tim</w:t>
      </w:r>
      <w:r w:rsidR="000A4E6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e- bound and efficient.</w:t>
      </w:r>
    </w:p>
    <w:p w14:paraId="553BD996" w14:textId="77777777" w:rsidR="001E1133" w:rsidRDefault="00877AD0" w:rsidP="00EE7B5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 w:rsidRPr="0056202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 xml:space="preserve">Documents for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m</w:t>
      </w:r>
      <w:r w:rsidRPr="001633F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echanism to deal with internal/external examination related grievances is transparent, time- bound and efficient</w:t>
      </w:r>
      <w:r w:rsidR="001E1133" w:rsidRPr="002B0477"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.</w:t>
      </w:r>
    </w:p>
    <w:p w14:paraId="74172E29" w14:textId="77777777" w:rsidR="008A7551" w:rsidRPr="008A7551" w:rsidRDefault="008A7551" w:rsidP="008A7551">
      <w:pPr>
        <w:pStyle w:val="ListParagraph"/>
        <w:spacing w:before="120" w:after="120"/>
        <w:ind w:left="0"/>
        <w:contextualSpacing w:val="0"/>
        <w:jc w:val="both"/>
        <w:rPr>
          <w:rFonts w:ascii="Times New Roman" w:hAnsi="Times New Roman"/>
          <w:sz w:val="24"/>
          <w:szCs w:val="24"/>
          <w:lang w:eastAsia="en-IN"/>
        </w:rPr>
      </w:pPr>
      <w:r w:rsidRPr="008A7551">
        <w:rPr>
          <w:rFonts w:ascii="Times New Roman" w:hAnsi="Times New Roman"/>
          <w:sz w:val="24"/>
          <w:szCs w:val="24"/>
          <w:lang w:eastAsia="en-IN"/>
        </w:rPr>
        <w:t xml:space="preserve">External examination is a part of affiliated university. University </w:t>
      </w:r>
      <w:r>
        <w:rPr>
          <w:rFonts w:ascii="Times New Roman" w:hAnsi="Times New Roman"/>
          <w:sz w:val="24"/>
          <w:szCs w:val="24"/>
          <w:lang w:eastAsia="en-IN"/>
        </w:rPr>
        <w:t>had</w:t>
      </w:r>
      <w:r w:rsidRPr="008A7551">
        <w:rPr>
          <w:rFonts w:ascii="Times New Roman" w:hAnsi="Times New Roman"/>
          <w:sz w:val="24"/>
          <w:szCs w:val="24"/>
          <w:lang w:eastAsia="en-IN"/>
        </w:rPr>
        <w:t xml:space="preserve"> laid </w:t>
      </w:r>
      <w:r>
        <w:rPr>
          <w:rFonts w:ascii="Times New Roman" w:hAnsi="Times New Roman"/>
          <w:sz w:val="24"/>
          <w:szCs w:val="24"/>
          <w:lang w:eastAsia="en-IN"/>
        </w:rPr>
        <w:t xml:space="preserve">down the </w:t>
      </w:r>
      <w:r w:rsidRPr="008A7551">
        <w:rPr>
          <w:rFonts w:ascii="Times New Roman" w:hAnsi="Times New Roman"/>
          <w:sz w:val="24"/>
          <w:szCs w:val="24"/>
          <w:lang w:eastAsia="en-IN"/>
        </w:rPr>
        <w:t xml:space="preserve">rules and regulation related to examination </w:t>
      </w:r>
      <w:r>
        <w:rPr>
          <w:rFonts w:ascii="Times New Roman" w:hAnsi="Times New Roman"/>
          <w:sz w:val="24"/>
          <w:szCs w:val="24"/>
          <w:lang w:eastAsia="en-IN"/>
        </w:rPr>
        <w:t xml:space="preserve">grievances </w:t>
      </w:r>
      <w:r w:rsidRPr="008A7551">
        <w:rPr>
          <w:rFonts w:ascii="Times New Roman" w:hAnsi="Times New Roman"/>
          <w:sz w:val="24"/>
          <w:szCs w:val="24"/>
          <w:lang w:eastAsia="en-IN"/>
        </w:rPr>
        <w:t xml:space="preserve">and institute </w:t>
      </w:r>
      <w:r>
        <w:rPr>
          <w:rFonts w:ascii="Times New Roman" w:hAnsi="Times New Roman"/>
          <w:sz w:val="24"/>
          <w:szCs w:val="24"/>
          <w:lang w:eastAsia="en-IN"/>
        </w:rPr>
        <w:t>provides necessary support to candidate for this purpose. The links listed below provide the information about some of the cases of internal and external examination related grievances.</w:t>
      </w:r>
    </w:p>
    <w:p w14:paraId="3852DB2C" w14:textId="77777777" w:rsidR="00534BB2" w:rsidRDefault="00534BB2" w:rsidP="001E1133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  <w:t>INDEX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4"/>
        <w:gridCol w:w="5015"/>
        <w:gridCol w:w="3194"/>
      </w:tblGrid>
      <w:tr w:rsidR="00EE7B5C" w:rsidRPr="000E3005" w14:paraId="4061147A" w14:textId="77777777" w:rsidTr="00C028FD">
        <w:trPr>
          <w:trHeight w:val="720"/>
          <w:tblHeader/>
        </w:trPr>
        <w:tc>
          <w:tcPr>
            <w:tcW w:w="559" w:type="pct"/>
            <w:vAlign w:val="center"/>
          </w:tcPr>
          <w:p w14:paraId="5DAEFFA0" w14:textId="77777777" w:rsidR="00EE7B5C" w:rsidRPr="000E3005" w:rsidRDefault="00EE7B5C" w:rsidP="00C028FD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713" w:type="pct"/>
            <w:vAlign w:val="center"/>
          </w:tcPr>
          <w:p w14:paraId="1D917265" w14:textId="77777777" w:rsidR="00EE7B5C" w:rsidRPr="000E3005" w:rsidRDefault="00EE7B5C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1728" w:type="pct"/>
            <w:vAlign w:val="center"/>
          </w:tcPr>
          <w:p w14:paraId="6FDE5B4A" w14:textId="77777777" w:rsidR="00EE7B5C" w:rsidRPr="000E3005" w:rsidRDefault="00EE7B5C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E3005"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EE7B5C" w:rsidRPr="000E3005" w14:paraId="0E118CF3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675B6A0E" w14:textId="77777777" w:rsidR="00EE7B5C" w:rsidRPr="000E3005" w:rsidRDefault="00EE7B5C" w:rsidP="00EE7B5C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39007DD8" w14:textId="77777777" w:rsidR="00EE7B5C" w:rsidRPr="000E3005" w:rsidRDefault="00EE7B5C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University ordinances/circulars related to grievances related to marks obtained in University exams (Supply of Photo Copy of assessed answer books, revaluation of answer books)</w:t>
            </w:r>
          </w:p>
        </w:tc>
        <w:tc>
          <w:tcPr>
            <w:tcW w:w="1728" w:type="pct"/>
            <w:vAlign w:val="center"/>
          </w:tcPr>
          <w:p w14:paraId="62E88A61" w14:textId="09D33186" w:rsidR="00EE7B5C" w:rsidRPr="000E3005" w:rsidRDefault="00C514CD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E7B5C" w:rsidRPr="000E3005" w14:paraId="6DA555C5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5258F45C" w14:textId="77777777" w:rsidR="00EE7B5C" w:rsidRPr="000E3005" w:rsidRDefault="00EE7B5C" w:rsidP="00EE7B5C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39A33C19" w14:textId="77777777" w:rsidR="00EE7B5C" w:rsidRPr="009C2E78" w:rsidRDefault="00EE7B5C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Photo/Scan copy and revaluation procedure (Online revaluation application system on University portal)</w:t>
            </w:r>
          </w:p>
        </w:tc>
        <w:tc>
          <w:tcPr>
            <w:tcW w:w="1728" w:type="pct"/>
            <w:vAlign w:val="center"/>
          </w:tcPr>
          <w:p w14:paraId="46455A48" w14:textId="2C5F71F3" w:rsidR="00EE7B5C" w:rsidRPr="000E3005" w:rsidRDefault="00C514CD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E7B5C" w:rsidRPr="000E3005" w14:paraId="2BAFE08A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7AD849B1" w14:textId="77777777" w:rsidR="00EE7B5C" w:rsidRPr="000E3005" w:rsidRDefault="00EE7B5C" w:rsidP="00EE7B5C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5690177E" w14:textId="77777777" w:rsidR="00EE7B5C" w:rsidRPr="000E3005" w:rsidRDefault="00EE7B5C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Student log-in window on University portal for online application</w:t>
            </w:r>
            <w:r w:rsidRPr="00E1432C">
              <w:rPr>
                <w:rFonts w:ascii="Times New Roman" w:hAnsi="Times New Roman"/>
                <w:sz w:val="24"/>
                <w:szCs w:val="24"/>
              </w:rPr>
              <w:t xml:space="preserve"> syst</w:t>
            </w:r>
            <w:r>
              <w:rPr>
                <w:rFonts w:ascii="Times New Roman" w:hAnsi="Times New Roman"/>
                <w:sz w:val="24"/>
                <w:szCs w:val="24"/>
              </w:rPr>
              <w:t>em for Photo/Scan Copy and revaluation</w:t>
            </w:r>
          </w:p>
        </w:tc>
        <w:tc>
          <w:tcPr>
            <w:tcW w:w="1728" w:type="pct"/>
            <w:vAlign w:val="center"/>
          </w:tcPr>
          <w:p w14:paraId="70E210EA" w14:textId="30DE41DB" w:rsidR="00EE7B5C" w:rsidRPr="000E3005" w:rsidRDefault="00C514CD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E7B5C" w:rsidRPr="000E3005" w14:paraId="2B38F3DF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1545C79B" w14:textId="77777777" w:rsidR="00EE7B5C" w:rsidRPr="000E3005" w:rsidRDefault="00EE7B5C" w:rsidP="00EE7B5C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31074500" w14:textId="77777777" w:rsidR="00EE7B5C" w:rsidRPr="000E3005" w:rsidRDefault="00EE7B5C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Sample cases of marks change after applying online for grievance related to marks obtained in University exams</w:t>
            </w:r>
          </w:p>
        </w:tc>
        <w:tc>
          <w:tcPr>
            <w:tcW w:w="1728" w:type="pct"/>
            <w:vAlign w:val="center"/>
          </w:tcPr>
          <w:p w14:paraId="7EEED39C" w14:textId="3C5A4D7F" w:rsidR="00EE7B5C" w:rsidRPr="000E3005" w:rsidRDefault="00C514CD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E7B5C" w:rsidRPr="000E3005" w14:paraId="5E4E3D0D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42F07094" w14:textId="77777777" w:rsidR="00EE7B5C" w:rsidRPr="000E3005" w:rsidRDefault="00EE7B5C" w:rsidP="00EE7B5C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1D1BAAF2" w14:textId="77777777" w:rsidR="00EE7B5C" w:rsidRPr="000E3005" w:rsidRDefault="00EE7B5C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Sample cases of marks change after applying offline for grievance related to marks obtained in University exams ( cases prior to introduction of online system)</w:t>
            </w:r>
          </w:p>
        </w:tc>
        <w:tc>
          <w:tcPr>
            <w:tcW w:w="1728" w:type="pct"/>
            <w:vAlign w:val="center"/>
          </w:tcPr>
          <w:p w14:paraId="4979BCD6" w14:textId="25875292" w:rsidR="00EE7B5C" w:rsidRPr="000E3005" w:rsidRDefault="00C514CD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E7B5C" w:rsidRPr="000E3005" w14:paraId="2F8FCC19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7A88F75B" w14:textId="77777777" w:rsidR="00EE7B5C" w:rsidRPr="000E3005" w:rsidRDefault="00EE7B5C" w:rsidP="00EE7B5C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738663E1" w14:textId="77777777" w:rsidR="00EE7B5C" w:rsidRPr="000E3005" w:rsidRDefault="00EE7B5C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Institute transparency in examination related processes and grievances (Services to internal stakeholders (students) – display board )</w:t>
            </w:r>
          </w:p>
        </w:tc>
        <w:tc>
          <w:tcPr>
            <w:tcW w:w="1728" w:type="pct"/>
            <w:vAlign w:val="center"/>
          </w:tcPr>
          <w:p w14:paraId="05B29877" w14:textId="5FA99F8F" w:rsidR="00EE7B5C" w:rsidRPr="000E3005" w:rsidRDefault="00C514CD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3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EE7B5C" w:rsidRPr="000E3005" w14:paraId="23D9558F" w14:textId="77777777" w:rsidTr="00C028FD">
        <w:trPr>
          <w:trHeight w:val="720"/>
        </w:trPr>
        <w:tc>
          <w:tcPr>
            <w:tcW w:w="559" w:type="pct"/>
            <w:vAlign w:val="center"/>
          </w:tcPr>
          <w:p w14:paraId="3A959DC5" w14:textId="77777777" w:rsidR="00EE7B5C" w:rsidRPr="000E3005" w:rsidRDefault="00EE7B5C" w:rsidP="00EE7B5C">
            <w:pPr>
              <w:pStyle w:val="ListParagraph"/>
              <w:numPr>
                <w:ilvl w:val="0"/>
                <w:numId w:val="4"/>
              </w:numPr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3" w:type="pct"/>
            <w:vAlign w:val="center"/>
          </w:tcPr>
          <w:p w14:paraId="18D25B5F" w14:textId="77777777" w:rsidR="00EE7B5C" w:rsidRDefault="00EE7B5C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Sample case of application to U</w:t>
            </w:r>
            <w:r w:rsidRPr="00A162D9">
              <w:rPr>
                <w:rFonts w:ascii="Times New Roman" w:hAnsi="Times New Roman"/>
                <w:color w:val="000000"/>
                <w:sz w:val="24"/>
                <w:szCs w:val="24"/>
                <w:lang w:val="en-IN"/>
              </w:rPr>
              <w:t>niversity regarding correction in result/mark sheet</w:t>
            </w:r>
          </w:p>
        </w:tc>
        <w:tc>
          <w:tcPr>
            <w:tcW w:w="1728" w:type="pct"/>
            <w:vAlign w:val="center"/>
          </w:tcPr>
          <w:p w14:paraId="590805F4" w14:textId="0CCBB829" w:rsidR="00EE7B5C" w:rsidRPr="000E3005" w:rsidRDefault="00C514CD" w:rsidP="00C028FD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63B40259" w14:textId="77777777" w:rsidR="00EE7B5C" w:rsidRDefault="00EE7B5C" w:rsidP="001E1133">
      <w:pPr>
        <w:spacing w:before="24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IN"/>
        </w:rPr>
      </w:pPr>
    </w:p>
    <w:sectPr w:rsidR="00EE7B5C" w:rsidSect="004C3D1F">
      <w:headerReference w:type="default" r:id="rId15"/>
      <w:footerReference w:type="default" r:id="rId16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909B9" w14:textId="77777777" w:rsidR="00C80C6C" w:rsidRDefault="00C80C6C" w:rsidP="004C3D1F">
      <w:pPr>
        <w:spacing w:after="0" w:line="240" w:lineRule="auto"/>
      </w:pPr>
      <w:r>
        <w:separator/>
      </w:r>
    </w:p>
  </w:endnote>
  <w:endnote w:type="continuationSeparator" w:id="0">
    <w:p w14:paraId="6C3AF4FF" w14:textId="77777777" w:rsidR="00C80C6C" w:rsidRDefault="00C80C6C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52661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5E3AD82" w14:textId="77777777" w:rsidR="00EE7B5C" w:rsidRPr="00EE7B5C" w:rsidRDefault="00EE7B5C">
        <w:pPr>
          <w:pStyle w:val="Footer"/>
          <w:jc w:val="right"/>
          <w:rPr>
            <w:rFonts w:ascii="Times New Roman" w:hAnsi="Times New Roman" w:cs="Times New Roman"/>
          </w:rPr>
        </w:pPr>
        <w:r w:rsidRPr="00EE7B5C">
          <w:rPr>
            <w:rFonts w:ascii="Times New Roman" w:hAnsi="Times New Roman" w:cs="Times New Roman"/>
          </w:rPr>
          <w:fldChar w:fldCharType="begin"/>
        </w:r>
        <w:r w:rsidRPr="00EE7B5C">
          <w:rPr>
            <w:rFonts w:ascii="Times New Roman" w:hAnsi="Times New Roman" w:cs="Times New Roman"/>
          </w:rPr>
          <w:instrText xml:space="preserve"> PAGE   \* MERGEFORMAT </w:instrText>
        </w:r>
        <w:r w:rsidRPr="00EE7B5C">
          <w:rPr>
            <w:rFonts w:ascii="Times New Roman" w:hAnsi="Times New Roman" w:cs="Times New Roman"/>
          </w:rPr>
          <w:fldChar w:fldCharType="separate"/>
        </w:r>
        <w:r w:rsidR="008A7551">
          <w:rPr>
            <w:rFonts w:ascii="Times New Roman" w:hAnsi="Times New Roman" w:cs="Times New Roman"/>
            <w:noProof/>
          </w:rPr>
          <w:t>1</w:t>
        </w:r>
        <w:r w:rsidRPr="00EE7B5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A8424DA" w14:textId="77777777" w:rsidR="00EE7B5C" w:rsidRDefault="00EE7B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2801F" w14:textId="77777777" w:rsidR="00C80C6C" w:rsidRDefault="00C80C6C" w:rsidP="004C3D1F">
      <w:pPr>
        <w:spacing w:after="0" w:line="240" w:lineRule="auto"/>
      </w:pPr>
      <w:r>
        <w:separator/>
      </w:r>
    </w:p>
  </w:footnote>
  <w:footnote w:type="continuationSeparator" w:id="0">
    <w:p w14:paraId="0BC52B65" w14:textId="77777777" w:rsidR="00C80C6C" w:rsidRDefault="00C80C6C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065B88F6" w14:textId="77777777" w:rsidTr="00EE7B5C">
      <w:trPr>
        <w:trHeight w:val="1343"/>
      </w:trPr>
      <w:tc>
        <w:tcPr>
          <w:tcW w:w="1668" w:type="dxa"/>
        </w:tcPr>
        <w:p w14:paraId="408B9DBF" w14:textId="77777777" w:rsidR="004C3D1F" w:rsidRPr="00707333" w:rsidRDefault="004C3D1F" w:rsidP="005A57FE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1D17E0FF" wp14:editId="381F4731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472F8DB1" w14:textId="77777777" w:rsidR="004C3D1F" w:rsidRPr="00707333" w:rsidRDefault="004C3D1F" w:rsidP="00EE7B5C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00A1E7B0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5007F"/>
    <w:rsid w:val="000967B7"/>
    <w:rsid w:val="000A147A"/>
    <w:rsid w:val="000A4E60"/>
    <w:rsid w:val="000B3221"/>
    <w:rsid w:val="00144D89"/>
    <w:rsid w:val="00177E3D"/>
    <w:rsid w:val="001E1133"/>
    <w:rsid w:val="0023103C"/>
    <w:rsid w:val="0025641E"/>
    <w:rsid w:val="00261C68"/>
    <w:rsid w:val="0029075B"/>
    <w:rsid w:val="002C0BE7"/>
    <w:rsid w:val="0034289E"/>
    <w:rsid w:val="003540E2"/>
    <w:rsid w:val="003C58EB"/>
    <w:rsid w:val="00476CC5"/>
    <w:rsid w:val="004C3D1F"/>
    <w:rsid w:val="005040E1"/>
    <w:rsid w:val="00534BB2"/>
    <w:rsid w:val="00556E88"/>
    <w:rsid w:val="005660F9"/>
    <w:rsid w:val="00566780"/>
    <w:rsid w:val="00595E17"/>
    <w:rsid w:val="005A3F09"/>
    <w:rsid w:val="005A57FE"/>
    <w:rsid w:val="005B57D5"/>
    <w:rsid w:val="00656654"/>
    <w:rsid w:val="006777A3"/>
    <w:rsid w:val="006B2E7F"/>
    <w:rsid w:val="006C1DFB"/>
    <w:rsid w:val="006E27E9"/>
    <w:rsid w:val="006E75B6"/>
    <w:rsid w:val="00737561"/>
    <w:rsid w:val="00737AAF"/>
    <w:rsid w:val="00751784"/>
    <w:rsid w:val="007540D2"/>
    <w:rsid w:val="00774452"/>
    <w:rsid w:val="007A7571"/>
    <w:rsid w:val="007B2B98"/>
    <w:rsid w:val="007C5216"/>
    <w:rsid w:val="007F38D5"/>
    <w:rsid w:val="00860F0F"/>
    <w:rsid w:val="00877AD0"/>
    <w:rsid w:val="008A7551"/>
    <w:rsid w:val="008D1608"/>
    <w:rsid w:val="008F604A"/>
    <w:rsid w:val="00903325"/>
    <w:rsid w:val="009440D7"/>
    <w:rsid w:val="00946BDA"/>
    <w:rsid w:val="009653EA"/>
    <w:rsid w:val="009C632D"/>
    <w:rsid w:val="00AE0A45"/>
    <w:rsid w:val="00AE7B8A"/>
    <w:rsid w:val="00B0073E"/>
    <w:rsid w:val="00B65068"/>
    <w:rsid w:val="00B75950"/>
    <w:rsid w:val="00BD2C59"/>
    <w:rsid w:val="00BF3F60"/>
    <w:rsid w:val="00C12A2B"/>
    <w:rsid w:val="00C315FA"/>
    <w:rsid w:val="00C50069"/>
    <w:rsid w:val="00C514CD"/>
    <w:rsid w:val="00C80C6C"/>
    <w:rsid w:val="00CB604F"/>
    <w:rsid w:val="00CC25BB"/>
    <w:rsid w:val="00D15FE9"/>
    <w:rsid w:val="00D25375"/>
    <w:rsid w:val="00D60785"/>
    <w:rsid w:val="00D93020"/>
    <w:rsid w:val="00DC72A4"/>
    <w:rsid w:val="00E74FF5"/>
    <w:rsid w:val="00E7776F"/>
    <w:rsid w:val="00EE1B4B"/>
    <w:rsid w:val="00EE7B5C"/>
    <w:rsid w:val="00F3728C"/>
    <w:rsid w:val="00F418E0"/>
    <w:rsid w:val="00F94426"/>
    <w:rsid w:val="00FB5EF9"/>
    <w:rsid w:val="00FB78B2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04E9"/>
  <w15:docId w15:val="{D74394F4-F1D6-4806-B0C1-83E3D85D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51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coe.org/NAAC/CR-2/AI/2.5.2/01%20UNIVERSITY%20CIRCULAR%20PHOTO-SCAN%20COPY%20REVALUATION.pdf" TargetMode="External"/><Relationship Id="rId13" Type="http://schemas.openxmlformats.org/officeDocument/2006/relationships/hyperlink" Target="http://www.avcoe.org/NAAC/CR-2/AI/2.5.2/06%20Institute%20Transparancy%20in%20Examination%20Related%20Processes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vcoe.org/NAAC/CR-2/AI/2.5.2/05%20Offline-SAMPLE%20RESULT%20OF%20REVALUATION%20OF%20ANSWER%20BOOKS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vcoe.org/NAAC/CR-2/AI/2.5.2/04%20Online%20-SAMPLE%20CASES%20OF%20MARKS%20CHANGE%20AFTER%20REVALUATION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avcoe.org/NAAC/CR-2/AI/2.5.2/03%20STUDENT%20LOG-IN%20ONLINE%20PHTO-SCAN%20COPY%20REVALUA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vcoe.org/NAAC/CR-2/AI/2.5.2/02%20ONLINE%20PHTO-SCAN%20COPY%20REVALUATION%20PROCEDURE.pdf" TargetMode="External"/><Relationship Id="rId14" Type="http://schemas.openxmlformats.org/officeDocument/2006/relationships/hyperlink" Target="http://www.avcoe.org/NAAC/CR-2/AI/2.5.2/07%20CORRECTION%20IN%20RESULT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4A086-B529-4A2F-9CA2-5C51D3457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cp:keywords/>
  <dc:description/>
  <cp:lastModifiedBy>Mahesh Gunjal</cp:lastModifiedBy>
  <cp:revision>6</cp:revision>
  <cp:lastPrinted>2018-08-30T17:00:00Z</cp:lastPrinted>
  <dcterms:created xsi:type="dcterms:W3CDTF">2018-08-30T08:16:00Z</dcterms:created>
  <dcterms:modified xsi:type="dcterms:W3CDTF">2021-04-16T11:56:00Z</dcterms:modified>
</cp:coreProperties>
</file>