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AD" w:rsidRPr="00E326D7" w:rsidRDefault="00E326D7" w:rsidP="00E326D7">
      <w:pPr>
        <w:spacing w:before="120" w:after="120"/>
        <w:ind w:left="709" w:hanging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</w:pPr>
      <w:bookmarkStart w:id="0" w:name="_GoBack"/>
      <w:bookmarkEnd w:id="0"/>
      <w:r w:rsidRPr="00E326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7.1.2:</w:t>
      </w:r>
      <w:r w:rsidR="00EC3F59" w:rsidRPr="00E326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EC3F59" w:rsidRPr="00E326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  <w:t xml:space="preserve">The Institution has facilities for alternate sources of energy and energy conservation </w:t>
      </w:r>
      <w:r w:rsidR="00EC3F59" w:rsidRPr="00E326D7"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  <w:t xml:space="preserve">measures   </w:t>
      </w:r>
    </w:p>
    <w:p w:rsidR="00E326D7" w:rsidRDefault="006D7DF3" w:rsidP="0048015D">
      <w:pPr>
        <w:spacing w:before="360" w:after="120"/>
        <w:rPr>
          <w:rFonts w:ascii="Times New Roman" w:hAnsi="Times New Roman" w:cs="Times New Roman"/>
          <w:b/>
          <w:iCs/>
          <w:sz w:val="32"/>
          <w:szCs w:val="32"/>
        </w:rPr>
      </w:pPr>
      <w:r w:rsidRPr="0048015D">
        <w:rPr>
          <w:rFonts w:ascii="Times New Roman" w:hAnsi="Times New Roman" w:cs="Times New Roman"/>
          <w:b/>
          <w:iCs/>
          <w:sz w:val="32"/>
          <w:szCs w:val="32"/>
          <w:highlight w:val="lightGray"/>
        </w:rPr>
        <w:t>Sensor Based Energy conservation</w:t>
      </w:r>
    </w:p>
    <w:p w:rsidR="00E326D7" w:rsidRPr="00E326D7" w:rsidRDefault="00E326D7" w:rsidP="00E326D7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E326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E326D7" w:rsidRPr="00E326D7" w:rsidTr="001F6473">
        <w:trPr>
          <w:trHeight w:val="454"/>
        </w:trPr>
        <w:tc>
          <w:tcPr>
            <w:tcW w:w="959" w:type="dxa"/>
          </w:tcPr>
          <w:p w:rsidR="00E326D7" w:rsidRPr="00E326D7" w:rsidRDefault="00E326D7" w:rsidP="00E326D7">
            <w:pPr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:rsidR="00E326D7" w:rsidRPr="00E326D7" w:rsidRDefault="00E326D7" w:rsidP="00E326D7">
            <w:pPr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:rsidR="00E326D7" w:rsidRPr="00E326D7" w:rsidRDefault="00E326D7" w:rsidP="00E326D7">
            <w:pPr>
              <w:jc w:val="right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Pg. No.</w:t>
            </w:r>
          </w:p>
        </w:tc>
      </w:tr>
      <w:tr w:rsidR="00E326D7" w:rsidRPr="00E326D7" w:rsidTr="001F6473">
        <w:trPr>
          <w:trHeight w:val="454"/>
        </w:trPr>
        <w:tc>
          <w:tcPr>
            <w:tcW w:w="959" w:type="dxa"/>
          </w:tcPr>
          <w:p w:rsidR="00E326D7" w:rsidRPr="00E326D7" w:rsidRDefault="00E326D7" w:rsidP="00E326D7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7229" w:type="dxa"/>
          </w:tcPr>
          <w:p w:rsidR="00E326D7" w:rsidRPr="00E326D7" w:rsidRDefault="00E326D7" w:rsidP="00E326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sz w:val="24"/>
                <w:szCs w:val="24"/>
              </w:rPr>
              <w:t>Solar Energy</w:t>
            </w:r>
          </w:p>
        </w:tc>
        <w:tc>
          <w:tcPr>
            <w:tcW w:w="1054" w:type="dxa"/>
          </w:tcPr>
          <w:p w:rsidR="00E326D7" w:rsidRPr="00E326D7" w:rsidRDefault="00E326D7" w:rsidP="00E326D7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E326D7" w:rsidRPr="00E326D7" w:rsidTr="001F6473">
        <w:trPr>
          <w:trHeight w:val="454"/>
        </w:trPr>
        <w:tc>
          <w:tcPr>
            <w:tcW w:w="959" w:type="dxa"/>
          </w:tcPr>
          <w:p w:rsidR="00E326D7" w:rsidRPr="00E326D7" w:rsidRDefault="00E326D7" w:rsidP="00E326D7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7229" w:type="dxa"/>
          </w:tcPr>
          <w:p w:rsidR="00E326D7" w:rsidRPr="00E326D7" w:rsidRDefault="00E326D7" w:rsidP="00E326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sz w:val="24"/>
                <w:szCs w:val="24"/>
              </w:rPr>
              <w:t>Maintenance Strategies</w:t>
            </w:r>
          </w:p>
        </w:tc>
        <w:tc>
          <w:tcPr>
            <w:tcW w:w="1054" w:type="dxa"/>
          </w:tcPr>
          <w:p w:rsidR="00E326D7" w:rsidRPr="00E326D7" w:rsidRDefault="00E326D7" w:rsidP="00E326D7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</w:tr>
      <w:tr w:rsidR="00E326D7" w:rsidRPr="00E326D7" w:rsidTr="001F6473">
        <w:trPr>
          <w:trHeight w:val="454"/>
        </w:trPr>
        <w:tc>
          <w:tcPr>
            <w:tcW w:w="959" w:type="dxa"/>
          </w:tcPr>
          <w:p w:rsidR="00E326D7" w:rsidRPr="00E326D7" w:rsidRDefault="00E326D7" w:rsidP="00E326D7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7229" w:type="dxa"/>
          </w:tcPr>
          <w:p w:rsidR="00E326D7" w:rsidRPr="00E326D7" w:rsidRDefault="00E326D7" w:rsidP="00E326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sz w:val="24"/>
                <w:szCs w:val="24"/>
              </w:rPr>
              <w:t>Preventive maintenance</w:t>
            </w:r>
          </w:p>
        </w:tc>
        <w:tc>
          <w:tcPr>
            <w:tcW w:w="1054" w:type="dxa"/>
          </w:tcPr>
          <w:p w:rsidR="00E326D7" w:rsidRPr="00E326D7" w:rsidRDefault="00E326D7" w:rsidP="00E326D7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</w:tr>
      <w:tr w:rsidR="00E326D7" w:rsidRPr="00E326D7" w:rsidTr="001F6473">
        <w:trPr>
          <w:trHeight w:val="454"/>
        </w:trPr>
        <w:tc>
          <w:tcPr>
            <w:tcW w:w="959" w:type="dxa"/>
          </w:tcPr>
          <w:p w:rsidR="00E326D7" w:rsidRPr="00E326D7" w:rsidRDefault="00E326D7" w:rsidP="00E326D7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7229" w:type="dxa"/>
          </w:tcPr>
          <w:p w:rsidR="00E326D7" w:rsidRPr="00E326D7" w:rsidRDefault="00E326D7" w:rsidP="00E326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sz w:val="24"/>
                <w:szCs w:val="24"/>
              </w:rPr>
              <w:t>Corrective maintenance</w:t>
            </w:r>
          </w:p>
        </w:tc>
        <w:tc>
          <w:tcPr>
            <w:tcW w:w="1054" w:type="dxa"/>
          </w:tcPr>
          <w:p w:rsidR="00E326D7" w:rsidRPr="00E326D7" w:rsidRDefault="00E326D7" w:rsidP="00E326D7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</w:tr>
      <w:tr w:rsidR="00E326D7" w:rsidRPr="00E326D7" w:rsidTr="001F6473">
        <w:trPr>
          <w:trHeight w:val="454"/>
        </w:trPr>
        <w:tc>
          <w:tcPr>
            <w:tcW w:w="959" w:type="dxa"/>
          </w:tcPr>
          <w:p w:rsidR="00E326D7" w:rsidRPr="00E326D7" w:rsidRDefault="00E326D7" w:rsidP="00E326D7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7229" w:type="dxa"/>
          </w:tcPr>
          <w:p w:rsidR="00E326D7" w:rsidRPr="00E326D7" w:rsidRDefault="00E326D7" w:rsidP="00E326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sz w:val="24"/>
                <w:szCs w:val="24"/>
              </w:rPr>
              <w:t>Cleaning Strategies</w:t>
            </w:r>
          </w:p>
        </w:tc>
        <w:tc>
          <w:tcPr>
            <w:tcW w:w="1054" w:type="dxa"/>
          </w:tcPr>
          <w:p w:rsidR="00E326D7" w:rsidRPr="00E326D7" w:rsidRDefault="00E326D7" w:rsidP="00E326D7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</w:tr>
      <w:tr w:rsidR="00E326D7" w:rsidRPr="00E326D7" w:rsidTr="001F6473">
        <w:trPr>
          <w:trHeight w:val="454"/>
        </w:trPr>
        <w:tc>
          <w:tcPr>
            <w:tcW w:w="959" w:type="dxa"/>
          </w:tcPr>
          <w:p w:rsidR="00E326D7" w:rsidRPr="00E326D7" w:rsidRDefault="00E326D7" w:rsidP="00E326D7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7229" w:type="dxa"/>
          </w:tcPr>
          <w:p w:rsidR="00E326D7" w:rsidRPr="00E326D7" w:rsidRDefault="00E326D7" w:rsidP="00E326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E326D7">
              <w:rPr>
                <w:rFonts w:ascii="Times New Roman" w:eastAsia="Times New Roman" w:hAnsi="Times New Roman" w:cstheme="minorBidi"/>
                <w:sz w:val="24"/>
                <w:szCs w:val="24"/>
              </w:rPr>
              <w:t>Reading Method</w:t>
            </w:r>
          </w:p>
        </w:tc>
        <w:tc>
          <w:tcPr>
            <w:tcW w:w="1054" w:type="dxa"/>
          </w:tcPr>
          <w:p w:rsidR="00E326D7" w:rsidRPr="00E326D7" w:rsidRDefault="00E326D7" w:rsidP="00E326D7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</w:tr>
      <w:tr w:rsidR="00EC13F3" w:rsidRPr="00E326D7" w:rsidTr="001F6473">
        <w:trPr>
          <w:trHeight w:val="454"/>
        </w:trPr>
        <w:tc>
          <w:tcPr>
            <w:tcW w:w="959" w:type="dxa"/>
          </w:tcPr>
          <w:p w:rsidR="00EC13F3" w:rsidRPr="00E326D7" w:rsidRDefault="00EC13F3" w:rsidP="00E326D7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7229" w:type="dxa"/>
          </w:tcPr>
          <w:p w:rsidR="00EC13F3" w:rsidRPr="00E326D7" w:rsidRDefault="00EC13F3" w:rsidP="00E326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Sensor based energy conservation</w:t>
            </w:r>
          </w:p>
        </w:tc>
        <w:tc>
          <w:tcPr>
            <w:tcW w:w="1054" w:type="dxa"/>
          </w:tcPr>
          <w:p w:rsidR="00EC13F3" w:rsidRDefault="00EC13F3" w:rsidP="00E326D7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</w:tr>
    </w:tbl>
    <w:p w:rsidR="006D7DF3" w:rsidRPr="00E326D7" w:rsidRDefault="006D7DF3" w:rsidP="00E326D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 Institution has facilities for alternate sources of energy and energy conservation </w:t>
      </w:r>
      <w:r w:rsidRPr="00E326D7">
        <w:rPr>
          <w:rFonts w:ascii="Times New Roman" w:hAnsi="Times New Roman" w:cs="Times New Roman"/>
          <w:b/>
          <w:sz w:val="24"/>
          <w:szCs w:val="24"/>
        </w:rPr>
        <w:t xml:space="preserve">measures   </w:t>
      </w:r>
    </w:p>
    <w:p w:rsidR="006D7DF3" w:rsidRPr="00E326D7" w:rsidRDefault="006D7DF3" w:rsidP="00E326D7">
      <w:pPr>
        <w:pStyle w:val="ListParagraph"/>
        <w:numPr>
          <w:ilvl w:val="0"/>
          <w:numId w:val="10"/>
        </w:numPr>
        <w:spacing w:before="240" w:after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E326D7">
        <w:rPr>
          <w:rFonts w:ascii="Times New Roman" w:hAnsi="Times New Roman"/>
          <w:b/>
          <w:sz w:val="24"/>
          <w:szCs w:val="24"/>
        </w:rPr>
        <w:t>Solar Energy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 xml:space="preserve">Institute has installed 400 kW </w:t>
      </w:r>
      <w:proofErr w:type="gramStart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>Solar</w:t>
      </w:r>
      <w:proofErr w:type="gramEnd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 xml:space="preserve"> roof top photovoltaic plant in the premises to fulfil the electricity requirement of the campus with the investment of 133.25 lakh&amp; payback period of 1.78 years.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>Installation cost (</w:t>
      </w:r>
      <w:proofErr w:type="spellStart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>Rs</w:t>
      </w:r>
      <w:proofErr w:type="spellEnd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. In lakhs)  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ab/>
        <w:t>= 133.25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Generated electricity 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ab/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ab/>
        <w:t xml:space="preserve">            = 11, 71, 000 KWh 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Reduction in 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en-IN" w:bidi="mr-IN"/>
        </w:rPr>
        <w:t>CO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  <w:lang w:eastAsia="en-IN" w:bidi="mr-IN"/>
        </w:rPr>
        <w:t xml:space="preserve">2 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emission      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ab/>
        <w:t>= 702600 Kg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Estimated </w:t>
      </w:r>
      <w:proofErr w:type="gramStart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>saving(</w:t>
      </w:r>
      <w:proofErr w:type="spellStart"/>
      <w:proofErr w:type="gramEnd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>Rs</w:t>
      </w:r>
      <w:proofErr w:type="spellEnd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. In lakhs) 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ab/>
        <w:t>= 159.8415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CO2 Saving 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ab/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ab/>
        <w:t xml:space="preserve">                        = 702600 Kg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 xml:space="preserve">The institute takes conscious efforts to create awareness about energy conservation and renewable energy usage among students. 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The institute </w:t>
      </w:r>
      <w:proofErr w:type="gramStart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>Secured</w:t>
      </w:r>
      <w:proofErr w:type="gramEnd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 the 2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val="en-GB" w:eastAsia="en-IN" w:bidi="mr-IN"/>
        </w:rPr>
        <w:t>nd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 prize in 12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val="en-GB" w:eastAsia="en-IN" w:bidi="mr-IN"/>
        </w:rPr>
        <w:t>th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GB" w:eastAsia="en-IN" w:bidi="mr-IN"/>
        </w:rPr>
        <w:t xml:space="preserve"> State Level Award Ceremony for Energy Conservation &amp; Management by MEDA (Govt. of Maharashtra) in 2016-17</w:t>
      </w:r>
    </w:p>
    <w:p w:rsidR="006D7DF3" w:rsidRPr="00E326D7" w:rsidRDefault="006D7DF3" w:rsidP="00E326D7">
      <w:pPr>
        <w:pStyle w:val="ListParagraph"/>
        <w:numPr>
          <w:ilvl w:val="0"/>
          <w:numId w:val="10"/>
        </w:numPr>
        <w:spacing w:before="240" w:after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E326D7">
        <w:rPr>
          <w:rFonts w:ascii="Times New Roman" w:hAnsi="Times New Roman"/>
          <w:b/>
          <w:sz w:val="24"/>
          <w:szCs w:val="24"/>
        </w:rPr>
        <w:t>Maintenance Strategies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 xml:space="preserve">IOT based Online Condition monitoring unit installed in the SRTPV plant that gives the regular monitoring of all the equipment’s connected like inverter, solar </w:t>
      </w:r>
      <w:proofErr w:type="gramStart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>modules ,</w:t>
      </w:r>
      <w:proofErr w:type="gramEnd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 xml:space="preserve"> protection devices </w:t>
      </w:r>
      <w:proofErr w:type="spellStart"/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>etc</w:t>
      </w:r>
      <w:proofErr w:type="spellEnd"/>
    </w:p>
    <w:p w:rsidR="006D7DF3" w:rsidRPr="00E326D7" w:rsidRDefault="006D7DF3" w:rsidP="00E326D7">
      <w:pPr>
        <w:spacing w:before="120" w:after="120"/>
        <w:jc w:val="both"/>
        <w:rPr>
          <w:rFonts w:ascii="Times New Roman" w:hAnsi="Times New Roman" w:cs="Times New Roma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lastRenderedPageBreak/>
        <w:t xml:space="preserve">The website for monitoring the plant is </w:t>
      </w:r>
      <w:hyperlink r:id="rId8" w:history="1">
        <w:r w:rsidRPr="00E326D7">
          <w:rPr>
            <w:rStyle w:val="Hyperlink"/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val="en-IN" w:eastAsia="en-IN" w:bidi="mr-IN"/>
          </w:rPr>
          <w:t>www.injectsolar.com</w:t>
        </w:r>
      </w:hyperlink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</w:pP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</w:pPr>
      <w:r w:rsidRPr="00E326D7">
        <w:rPr>
          <w:rFonts w:ascii="Times New Roman" w:hAnsi="Times New Roman" w:cs="Times New Roman"/>
          <w:noProof/>
        </w:rPr>
        <w:drawing>
          <wp:inline distT="0" distB="0" distL="0" distR="0" wp14:anchorId="7E384A4E" wp14:editId="50878D1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DF3" w:rsidRPr="00E326D7" w:rsidRDefault="006D7DF3" w:rsidP="00E326D7">
      <w:pPr>
        <w:pStyle w:val="ListParagraph"/>
        <w:numPr>
          <w:ilvl w:val="0"/>
          <w:numId w:val="10"/>
        </w:numPr>
        <w:spacing w:before="240" w:after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E326D7">
        <w:rPr>
          <w:rFonts w:ascii="Times New Roman" w:hAnsi="Times New Roman"/>
          <w:b/>
          <w:sz w:val="24"/>
          <w:szCs w:val="24"/>
        </w:rPr>
        <w:t>Preventive maintenance</w:t>
      </w:r>
    </w:p>
    <w:p w:rsidR="006D7DF3" w:rsidRPr="00E326D7" w:rsidRDefault="00E326D7" w:rsidP="00E326D7">
      <w:pPr>
        <w:spacing w:before="120" w:after="120"/>
        <w:jc w:val="both"/>
        <w:rPr>
          <w:rFonts w:ascii="Times New Roman" w:hAnsi="Times New Roman" w:cs="Times New Roman"/>
        </w:rPr>
      </w:pPr>
      <w:r w:rsidRPr="00E326D7">
        <w:rPr>
          <w:rFonts w:ascii="Times New Roman" w:hAnsi="Times New Roman" w:cs="Times New Roman"/>
        </w:rPr>
        <w:t>Preventive Maintenance activities comprise</w:t>
      </w:r>
      <w:r w:rsidR="006D7DF3" w:rsidRPr="00E326D7">
        <w:rPr>
          <w:rFonts w:ascii="Times New Roman" w:hAnsi="Times New Roman" w:cs="Times New Roman"/>
        </w:rPr>
        <w:t xml:space="preserve"> regular visual and physical inspections, as well as verification activities conducted with specific frequencies.</w:t>
      </w:r>
    </w:p>
    <w:p w:rsidR="006D7DF3" w:rsidRPr="00E326D7" w:rsidRDefault="006D7DF3" w:rsidP="00E326D7">
      <w:pPr>
        <w:pStyle w:val="ListParagraph"/>
        <w:numPr>
          <w:ilvl w:val="0"/>
          <w:numId w:val="10"/>
        </w:numPr>
        <w:spacing w:before="240" w:after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E326D7">
        <w:rPr>
          <w:rFonts w:ascii="Times New Roman" w:hAnsi="Times New Roman"/>
          <w:b/>
          <w:sz w:val="24"/>
          <w:szCs w:val="24"/>
        </w:rPr>
        <w:t>Corrective maintenance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hAnsi="Times New Roman" w:cs="Times New Roman"/>
        </w:rPr>
      </w:pPr>
      <w:r w:rsidRPr="00E326D7">
        <w:rPr>
          <w:rFonts w:ascii="Times New Roman" w:hAnsi="Times New Roman" w:cs="Times New Roman"/>
        </w:rPr>
        <w:t xml:space="preserve">Corrective Maintenance covers the activities performed by the Maintenance team in order to restore a PV plant system, equipment or component to a status where it can perform the required function. Corrective Maintenance </w:t>
      </w:r>
      <w:proofErr w:type="gramStart"/>
      <w:r w:rsidRPr="00E326D7">
        <w:rPr>
          <w:rFonts w:ascii="Times New Roman" w:hAnsi="Times New Roman" w:cs="Times New Roman"/>
        </w:rPr>
        <w:t>include</w:t>
      </w:r>
      <w:proofErr w:type="gramEnd"/>
      <w:r w:rsidRPr="00E326D7">
        <w:rPr>
          <w:rFonts w:ascii="Times New Roman" w:hAnsi="Times New Roman" w:cs="Times New Roman"/>
        </w:rPr>
        <w:t>: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hAnsi="Times New Roman" w:cs="Times New Roman"/>
        </w:rPr>
      </w:pPr>
      <w:r w:rsidRPr="00E326D7">
        <w:rPr>
          <w:rFonts w:ascii="Times New Roman" w:hAnsi="Times New Roman" w:cs="Times New Roman"/>
        </w:rPr>
        <w:t xml:space="preserve"> </w:t>
      </w:r>
      <w:r w:rsidRPr="00E326D7">
        <w:rPr>
          <w:rFonts w:ascii="MS Mincho" w:eastAsia="MS Mincho" w:hAnsi="MS Mincho" w:cs="MS Mincho" w:hint="eastAsia"/>
        </w:rPr>
        <w:t>✓</w:t>
      </w:r>
      <w:r w:rsidRPr="00E326D7">
        <w:rPr>
          <w:rFonts w:ascii="Times New Roman" w:hAnsi="Times New Roman" w:cs="Times New Roman"/>
        </w:rPr>
        <w:t xml:space="preserve"> Fault Diagnosis: also called troubleshooting to identify fault cause and localization.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hAnsi="Times New Roman" w:cs="Times New Roman"/>
        </w:rPr>
      </w:pPr>
      <w:r w:rsidRPr="00E326D7">
        <w:rPr>
          <w:rFonts w:ascii="Times New Roman" w:hAnsi="Times New Roman" w:cs="Times New Roman"/>
        </w:rPr>
        <w:t xml:space="preserve"> </w:t>
      </w:r>
      <w:r w:rsidRPr="00E326D7">
        <w:rPr>
          <w:rFonts w:ascii="MS Mincho" w:eastAsia="MS Mincho" w:hAnsi="MS Mincho" w:cs="MS Mincho" w:hint="eastAsia"/>
        </w:rPr>
        <w:t>✓</w:t>
      </w:r>
      <w:r w:rsidRPr="00E326D7">
        <w:rPr>
          <w:rFonts w:ascii="Times New Roman" w:hAnsi="Times New Roman" w:cs="Times New Roman"/>
        </w:rPr>
        <w:t xml:space="preserve"> Temporary Repair: to restore the required function of a faulty item for a limited time, until a Repair is carried out.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hAnsi="Times New Roman" w:cs="Times New Roman"/>
        </w:rPr>
      </w:pPr>
      <w:r w:rsidRPr="00E326D7">
        <w:rPr>
          <w:rFonts w:ascii="Times New Roman" w:hAnsi="Times New Roman" w:cs="Times New Roman"/>
        </w:rPr>
        <w:t xml:space="preserve"> </w:t>
      </w:r>
      <w:r w:rsidRPr="00E326D7">
        <w:rPr>
          <w:rFonts w:ascii="MS Mincho" w:eastAsia="MS Mincho" w:hAnsi="MS Mincho" w:cs="MS Mincho" w:hint="eastAsia"/>
        </w:rPr>
        <w:t>✓</w:t>
      </w:r>
      <w:r w:rsidRPr="00E326D7">
        <w:rPr>
          <w:rFonts w:ascii="Times New Roman" w:hAnsi="Times New Roman" w:cs="Times New Roman"/>
        </w:rPr>
        <w:t xml:space="preserve"> Repair: to restore the required function permanently</w:t>
      </w:r>
    </w:p>
    <w:p w:rsidR="006D7DF3" w:rsidRPr="00E326D7" w:rsidRDefault="006D7DF3" w:rsidP="00E326D7">
      <w:pPr>
        <w:pStyle w:val="ListParagraph"/>
        <w:numPr>
          <w:ilvl w:val="0"/>
          <w:numId w:val="10"/>
        </w:numPr>
        <w:spacing w:before="240" w:after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E326D7">
        <w:rPr>
          <w:rFonts w:ascii="Times New Roman" w:hAnsi="Times New Roman"/>
          <w:b/>
          <w:sz w:val="24"/>
          <w:szCs w:val="24"/>
        </w:rPr>
        <w:t>Cleaning Strategies</w:t>
      </w:r>
    </w:p>
    <w:p w:rsidR="006D7DF3" w:rsidRPr="00E326D7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 xml:space="preserve">A house keeping team clean the solar modules on the regular basis with frequency of weekly using soft moping and water. </w:t>
      </w:r>
    </w:p>
    <w:p w:rsidR="006D7DF3" w:rsidRPr="00E326D7" w:rsidRDefault="006D7DF3" w:rsidP="00E326D7">
      <w:pPr>
        <w:pStyle w:val="ListParagraph"/>
        <w:numPr>
          <w:ilvl w:val="0"/>
          <w:numId w:val="10"/>
        </w:numPr>
        <w:spacing w:before="240" w:after="12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E326D7">
        <w:rPr>
          <w:rFonts w:ascii="Times New Roman" w:hAnsi="Times New Roman"/>
          <w:b/>
          <w:sz w:val="24"/>
          <w:szCs w:val="24"/>
        </w:rPr>
        <w:t>Reading Method</w:t>
      </w:r>
    </w:p>
    <w:p w:rsidR="00151DB0" w:rsidRDefault="006D7DF3" w:rsidP="00E326D7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</w:pP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 xml:space="preserve">A reading of all inverters will be taken using IOT based monitoring system which gives the individual reading of all inverters, solar generation meter. </w:t>
      </w:r>
      <w:r w:rsidR="00E326D7"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>Maintenance team technicians also take</w:t>
      </w:r>
      <w:r w:rsidRPr="00E326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IN" w:eastAsia="en-IN" w:bidi="mr-IN"/>
        </w:rPr>
        <w:t xml:space="preserve"> the manual reading of inverters and solar generation meter.</w:t>
      </w:r>
    </w:p>
    <w:p w:rsidR="00837B8C" w:rsidRDefault="00837B8C" w:rsidP="00837B8C">
      <w:pPr>
        <w:pStyle w:val="ListParagraph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37B8C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Sensor based energy conservation</w:t>
      </w:r>
    </w:p>
    <w:p w:rsidR="00EC13F3" w:rsidRDefault="00EC13F3" w:rsidP="00EC13F3">
      <w:pPr>
        <w:pStyle w:val="ListParagraph"/>
        <w:spacing w:before="120" w:after="120"/>
        <w:ind w:left="426"/>
        <w:jc w:val="both"/>
      </w:pPr>
    </w:p>
    <w:p w:rsidR="00EC13F3" w:rsidRPr="00837B8C" w:rsidRDefault="00EC13F3" w:rsidP="00EC13F3">
      <w:pPr>
        <w:pStyle w:val="ListParagraph"/>
        <w:spacing w:before="120" w:after="120"/>
        <w:ind w:left="426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EC13F3">
        <w:rPr>
          <w:noProof/>
        </w:rPr>
        <w:drawing>
          <wp:inline distT="0" distB="0" distL="0" distR="0" wp14:anchorId="0B0A107E" wp14:editId="5150C947">
            <wp:extent cx="5019675" cy="6478489"/>
            <wp:effectExtent l="0" t="0" r="0" b="0"/>
            <wp:docPr id="12221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1344" name=""/>
                    <pic:cNvPicPr/>
                  </pic:nvPicPr>
                  <pic:blipFill rotWithShape="1">
                    <a:blip r:embed="rId10"/>
                    <a:srcRect t="29987"/>
                    <a:stretch/>
                  </pic:blipFill>
                  <pic:spPr bwMode="auto">
                    <a:xfrm>
                      <a:off x="0" y="0"/>
                      <a:ext cx="5019675" cy="6478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13F3" w:rsidRPr="00837B8C" w:rsidSect="00DA53E3">
      <w:headerReference w:type="default" r:id="rId11"/>
      <w:footerReference w:type="default" r:id="rId12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8B" w:rsidRDefault="009F088B" w:rsidP="00DA5E35">
      <w:pPr>
        <w:spacing w:after="0" w:line="240" w:lineRule="auto"/>
      </w:pPr>
      <w:r>
        <w:separator/>
      </w:r>
    </w:p>
  </w:endnote>
  <w:endnote w:type="continuationSeparator" w:id="0">
    <w:p w:rsidR="009F088B" w:rsidRDefault="009F088B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F740A0">
          <w:rPr>
            <w:rFonts w:ascii="Times New Roman" w:hAnsi="Times New Roman" w:cs="Times New Roman"/>
            <w:noProof/>
          </w:rPr>
          <w:t>3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8B" w:rsidRDefault="009F088B" w:rsidP="00DA5E35">
      <w:pPr>
        <w:spacing w:after="0" w:line="240" w:lineRule="auto"/>
      </w:pPr>
      <w:r>
        <w:separator/>
      </w:r>
    </w:p>
  </w:footnote>
  <w:footnote w:type="continuationSeparator" w:id="0">
    <w:p w:rsidR="009F088B" w:rsidRDefault="009F088B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E18461C" wp14:editId="7446681A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proofErr w:type="spellStart"/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</w:t>
          </w:r>
          <w:proofErr w:type="spellEnd"/>
          <w:r w:rsidRPr="00DA5E35">
            <w:rPr>
              <w:rFonts w:ascii="Times New Roman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DA5E35">
            <w:rPr>
              <w:rFonts w:ascii="Times New Roman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C6C3C"/>
    <w:multiLevelType w:val="hybridMultilevel"/>
    <w:tmpl w:val="0BF2A6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qwUAClaRVSwAAAA="/>
  </w:docVars>
  <w:rsids>
    <w:rsidRoot w:val="00B76EB1"/>
    <w:rsid w:val="0006788A"/>
    <w:rsid w:val="00077FA6"/>
    <w:rsid w:val="000C2748"/>
    <w:rsid w:val="000E4916"/>
    <w:rsid w:val="00143E7A"/>
    <w:rsid w:val="00151DB0"/>
    <w:rsid w:val="001D49C7"/>
    <w:rsid w:val="00255C9E"/>
    <w:rsid w:val="0026179F"/>
    <w:rsid w:val="002A28ED"/>
    <w:rsid w:val="002B1CA5"/>
    <w:rsid w:val="002D29F1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6A4B"/>
    <w:rsid w:val="0041287F"/>
    <w:rsid w:val="0044298F"/>
    <w:rsid w:val="004533D5"/>
    <w:rsid w:val="0048015D"/>
    <w:rsid w:val="00497C29"/>
    <w:rsid w:val="00521147"/>
    <w:rsid w:val="0055237B"/>
    <w:rsid w:val="00564213"/>
    <w:rsid w:val="00574217"/>
    <w:rsid w:val="005B0270"/>
    <w:rsid w:val="00690742"/>
    <w:rsid w:val="006938B2"/>
    <w:rsid w:val="006A25EA"/>
    <w:rsid w:val="006A5A47"/>
    <w:rsid w:val="006B3D2C"/>
    <w:rsid w:val="006D7DF3"/>
    <w:rsid w:val="00720BA9"/>
    <w:rsid w:val="007312AD"/>
    <w:rsid w:val="00734543"/>
    <w:rsid w:val="007434E0"/>
    <w:rsid w:val="007747F8"/>
    <w:rsid w:val="007B6329"/>
    <w:rsid w:val="007D07D1"/>
    <w:rsid w:val="007E7D9E"/>
    <w:rsid w:val="00807E5E"/>
    <w:rsid w:val="00817531"/>
    <w:rsid w:val="00837B8C"/>
    <w:rsid w:val="008413CE"/>
    <w:rsid w:val="0085386E"/>
    <w:rsid w:val="00886BD1"/>
    <w:rsid w:val="008A27D6"/>
    <w:rsid w:val="00915ACD"/>
    <w:rsid w:val="00956373"/>
    <w:rsid w:val="009D2E8F"/>
    <w:rsid w:val="009E6EB5"/>
    <w:rsid w:val="009F0549"/>
    <w:rsid w:val="009F088B"/>
    <w:rsid w:val="00A52BE4"/>
    <w:rsid w:val="00AB0BBA"/>
    <w:rsid w:val="00B557AF"/>
    <w:rsid w:val="00B6017D"/>
    <w:rsid w:val="00B76EB1"/>
    <w:rsid w:val="00B82322"/>
    <w:rsid w:val="00BD27B2"/>
    <w:rsid w:val="00BD5F90"/>
    <w:rsid w:val="00C36668"/>
    <w:rsid w:val="00C8309E"/>
    <w:rsid w:val="00C83858"/>
    <w:rsid w:val="00C87DD5"/>
    <w:rsid w:val="00C963F8"/>
    <w:rsid w:val="00CB3B1D"/>
    <w:rsid w:val="00CD044C"/>
    <w:rsid w:val="00D56468"/>
    <w:rsid w:val="00DA53E3"/>
    <w:rsid w:val="00DA5E35"/>
    <w:rsid w:val="00DA6EAD"/>
    <w:rsid w:val="00DE6537"/>
    <w:rsid w:val="00E00FD5"/>
    <w:rsid w:val="00E026D4"/>
    <w:rsid w:val="00E06539"/>
    <w:rsid w:val="00E15EA9"/>
    <w:rsid w:val="00E326D7"/>
    <w:rsid w:val="00EC13F3"/>
    <w:rsid w:val="00EC3F59"/>
    <w:rsid w:val="00EC6A66"/>
    <w:rsid w:val="00F34E08"/>
    <w:rsid w:val="00F3502A"/>
    <w:rsid w:val="00F4787C"/>
    <w:rsid w:val="00F545B8"/>
    <w:rsid w:val="00F740A0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character" w:styleId="Hyperlink">
    <w:name w:val="Hyperlink"/>
    <w:basedOn w:val="DefaultParagraphFont"/>
    <w:uiPriority w:val="99"/>
    <w:unhideWhenUsed/>
    <w:rsid w:val="006D7DF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32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character" w:styleId="Hyperlink">
    <w:name w:val="Hyperlink"/>
    <w:basedOn w:val="DefaultParagraphFont"/>
    <w:uiPriority w:val="99"/>
    <w:unhideWhenUsed/>
    <w:rsid w:val="006D7DF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32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jectsolar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17</cp:revision>
  <cp:lastPrinted>2024-12-20T06:48:00Z</cp:lastPrinted>
  <dcterms:created xsi:type="dcterms:W3CDTF">2021-04-06T08:56:00Z</dcterms:created>
  <dcterms:modified xsi:type="dcterms:W3CDTF">2024-12-20T06:58:00Z</dcterms:modified>
</cp:coreProperties>
</file>