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E6" w:rsidRDefault="00500814">
      <w:pPr>
        <w:pStyle w:val="TableParagraph"/>
        <w:ind w:left="810" w:right="265" w:hanging="701"/>
        <w:jc w:val="both"/>
        <w:rPr>
          <w:rFonts w:ascii="Times New Roman" w:hAnsi="Times New Roman" w:cs="Times New Roman"/>
          <w:b/>
          <w:i/>
          <w:sz w:val="24"/>
          <w:szCs w:val="24"/>
        </w:rPr>
      </w:pPr>
      <w:r>
        <w:rPr>
          <w:rFonts w:ascii="Times New Roman" w:eastAsia="Times New Roman" w:hAnsi="Times New Roman" w:cs="Times New Roman"/>
          <w:b/>
          <w:bCs/>
          <w:i/>
          <w:iCs/>
          <w:sz w:val="24"/>
          <w:szCs w:val="24"/>
          <w:lang w:bidi="hi-IN"/>
        </w:rPr>
        <w:t xml:space="preserve">5.1.2: </w:t>
      </w:r>
      <w:r>
        <w:rPr>
          <w:rFonts w:ascii="Times New Roman" w:hAnsi="Times New Roman" w:cs="Times New Roman"/>
          <w:b/>
          <w:i/>
          <w:sz w:val="24"/>
          <w:szCs w:val="24"/>
        </w:rPr>
        <w:t>Number of students benefitted by scholarships, freeships etc. provided by the institution / non- government bodies, industries, individuals, philanthropists during the year</w:t>
      </w:r>
    </w:p>
    <w:p w:rsidR="00790EE6" w:rsidRDefault="00790EE6">
      <w:pPr>
        <w:spacing w:after="0"/>
        <w:ind w:left="709" w:hanging="709"/>
        <w:jc w:val="both"/>
        <w:rPr>
          <w:rFonts w:ascii="Times New Roman" w:eastAsia="Times New Roman" w:hAnsi="Times New Roman" w:cs="Times New Roman"/>
          <w:b/>
          <w:bCs/>
          <w:i/>
          <w:iCs/>
          <w:sz w:val="24"/>
          <w:szCs w:val="24"/>
          <w:lang w:bidi="hi-IN"/>
        </w:rPr>
      </w:pPr>
    </w:p>
    <w:p w:rsidR="00790EE6" w:rsidRDefault="00500814">
      <w:pPr>
        <w:spacing w:after="360"/>
        <w:ind w:left="1560" w:hanging="851"/>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5.1.2.1 </w:t>
      </w:r>
      <w:r>
        <w:rPr>
          <w:rFonts w:ascii="Times New Roman" w:eastAsia="Times New Roman" w:hAnsi="Times New Roman" w:cs="Times New Roman"/>
          <w:sz w:val="24"/>
          <w:szCs w:val="24"/>
          <w:lang w:bidi="hi-IN"/>
        </w:rPr>
        <w:tab/>
        <w:t xml:space="preserve">Total number of students benefited by scholarships, free ships, </w:t>
      </w:r>
      <w:r>
        <w:rPr>
          <w:rFonts w:ascii="Times New Roman" w:eastAsia="Times New Roman" w:hAnsi="Times New Roman" w:cs="Times New Roman"/>
          <w:sz w:val="24"/>
          <w:szCs w:val="24"/>
          <w:lang w:bidi="hi-IN"/>
        </w:rPr>
        <w:t>etc. provided by the institution / non- government bodies, industries, individuals, philanthropists during the year</w:t>
      </w:r>
    </w:p>
    <w:p w:rsidR="00790EE6" w:rsidRDefault="00500814">
      <w:pPr>
        <w:spacing w:before="840"/>
        <w:jc w:val="center"/>
        <w:rPr>
          <w:rFonts w:ascii="Times New Roman" w:eastAsia="Times New Roman" w:hAnsi="Times New Roman" w:cs="Times New Roman"/>
          <w:b/>
          <w:bCs/>
          <w:iCs/>
          <w:sz w:val="24"/>
          <w:szCs w:val="24"/>
          <w:lang w:bidi="hi-IN"/>
        </w:rPr>
      </w:pPr>
      <w:r>
        <w:rPr>
          <w:rFonts w:ascii="Times New Roman" w:eastAsia="Times New Roman" w:hAnsi="Times New Roman" w:cs="Times New Roman"/>
          <w:b/>
          <w:bCs/>
          <w:iCs/>
          <w:sz w:val="24"/>
          <w:szCs w:val="24"/>
          <w:lang w:bidi="hi-IN"/>
        </w:rPr>
        <w:t>INDEX</w:t>
      </w:r>
    </w:p>
    <w:tbl>
      <w:tblPr>
        <w:tblStyle w:val="TableGrid1"/>
        <w:tblW w:w="9242" w:type="dxa"/>
        <w:tblLayout w:type="fixed"/>
        <w:tblLook w:val="04A0" w:firstRow="1" w:lastRow="0" w:firstColumn="1" w:lastColumn="0" w:noHBand="0" w:noVBand="1"/>
      </w:tblPr>
      <w:tblGrid>
        <w:gridCol w:w="959"/>
        <w:gridCol w:w="7229"/>
        <w:gridCol w:w="1054"/>
      </w:tblGrid>
      <w:tr w:rsidR="00790EE6">
        <w:trPr>
          <w:trHeight w:val="454"/>
        </w:trPr>
        <w:tc>
          <w:tcPr>
            <w:tcW w:w="959" w:type="dxa"/>
            <w:tcBorders>
              <w:top w:val="nil"/>
              <w:left w:val="nil"/>
              <w:bottom w:val="nil"/>
              <w:right w:val="nil"/>
            </w:tcBorders>
          </w:tcPr>
          <w:p w:rsidR="00790EE6" w:rsidRDefault="00500814">
            <w:pPr>
              <w:widowControl w:val="0"/>
              <w:spacing w:after="0"/>
              <w:rPr>
                <w:rFonts w:ascii="Times New Roman" w:eastAsia="Times New Roman" w:hAnsi="Times New Roman"/>
                <w:b/>
                <w:sz w:val="24"/>
                <w:szCs w:val="24"/>
              </w:rPr>
            </w:pPr>
            <w:r>
              <w:rPr>
                <w:rFonts w:ascii="Times New Roman" w:eastAsia="Times New Roman" w:hAnsi="Times New Roman" w:cs="Mangal"/>
                <w:b/>
                <w:sz w:val="24"/>
                <w:szCs w:val="24"/>
              </w:rPr>
              <w:t>Sr. No.</w:t>
            </w:r>
          </w:p>
        </w:tc>
        <w:tc>
          <w:tcPr>
            <w:tcW w:w="7229" w:type="dxa"/>
            <w:tcBorders>
              <w:top w:val="nil"/>
              <w:left w:val="nil"/>
              <w:bottom w:val="nil"/>
              <w:right w:val="nil"/>
            </w:tcBorders>
          </w:tcPr>
          <w:p w:rsidR="00790EE6" w:rsidRDefault="00500814">
            <w:pPr>
              <w:widowControl w:val="0"/>
              <w:spacing w:after="0"/>
              <w:rPr>
                <w:rFonts w:ascii="Times New Roman" w:eastAsia="Times New Roman" w:hAnsi="Times New Roman"/>
                <w:b/>
                <w:sz w:val="24"/>
                <w:szCs w:val="24"/>
              </w:rPr>
            </w:pPr>
            <w:r>
              <w:rPr>
                <w:rFonts w:ascii="Times New Roman" w:eastAsia="Times New Roman" w:hAnsi="Times New Roman" w:cs="Mangal"/>
                <w:b/>
                <w:sz w:val="24"/>
                <w:szCs w:val="24"/>
              </w:rPr>
              <w:t>Description</w:t>
            </w:r>
          </w:p>
        </w:tc>
        <w:tc>
          <w:tcPr>
            <w:tcW w:w="1054" w:type="dxa"/>
            <w:tcBorders>
              <w:top w:val="nil"/>
              <w:left w:val="nil"/>
              <w:bottom w:val="nil"/>
              <w:right w:val="nil"/>
            </w:tcBorders>
          </w:tcPr>
          <w:p w:rsidR="00790EE6" w:rsidRDefault="00500814">
            <w:pPr>
              <w:widowControl w:val="0"/>
              <w:spacing w:after="0"/>
              <w:jc w:val="right"/>
              <w:rPr>
                <w:rFonts w:ascii="Times New Roman" w:eastAsia="Times New Roman" w:hAnsi="Times New Roman"/>
                <w:b/>
                <w:sz w:val="24"/>
                <w:szCs w:val="24"/>
              </w:rPr>
            </w:pPr>
            <w:r>
              <w:rPr>
                <w:rFonts w:ascii="Times New Roman" w:eastAsia="Times New Roman" w:hAnsi="Times New Roman" w:cs="Mangal"/>
                <w:b/>
                <w:sz w:val="24"/>
                <w:szCs w:val="24"/>
              </w:rPr>
              <w:t>Pg. No.</w:t>
            </w:r>
          </w:p>
        </w:tc>
      </w:tr>
      <w:tr w:rsidR="00790EE6">
        <w:trPr>
          <w:trHeight w:val="454"/>
        </w:trPr>
        <w:tc>
          <w:tcPr>
            <w:tcW w:w="959" w:type="dxa"/>
            <w:tcBorders>
              <w:top w:val="nil"/>
              <w:left w:val="nil"/>
              <w:bottom w:val="nil"/>
              <w:right w:val="nil"/>
            </w:tcBorders>
          </w:tcPr>
          <w:p w:rsidR="00790EE6" w:rsidRDefault="00790EE6">
            <w:pPr>
              <w:widowControl w:val="0"/>
              <w:numPr>
                <w:ilvl w:val="0"/>
                <w:numId w:val="1"/>
              </w:numPr>
              <w:spacing w:after="0" w:line="240" w:lineRule="auto"/>
              <w:contextualSpacing/>
              <w:rPr>
                <w:rFonts w:ascii="Times New Roman" w:eastAsia="Times New Roman" w:hAnsi="Times New Roman"/>
                <w:sz w:val="24"/>
                <w:szCs w:val="24"/>
              </w:rPr>
            </w:pPr>
          </w:p>
        </w:tc>
        <w:tc>
          <w:tcPr>
            <w:tcW w:w="7229" w:type="dxa"/>
            <w:tcBorders>
              <w:top w:val="nil"/>
              <w:left w:val="nil"/>
              <w:bottom w:val="nil"/>
              <w:right w:val="nil"/>
            </w:tcBorders>
          </w:tcPr>
          <w:p w:rsidR="00790EE6" w:rsidRDefault="00500814">
            <w:pPr>
              <w:widowControl w:val="0"/>
              <w:spacing w:after="0"/>
              <w:rPr>
                <w:rFonts w:ascii="Times New Roman" w:eastAsia="Times New Roman" w:hAnsi="Times New Roman"/>
                <w:sz w:val="24"/>
                <w:szCs w:val="24"/>
              </w:rPr>
            </w:pPr>
            <w:r>
              <w:rPr>
                <w:rFonts w:ascii="Times New Roman" w:eastAsia="Times New Roman" w:hAnsi="Times New Roman" w:cs="Mangal"/>
                <w:sz w:val="24"/>
                <w:szCs w:val="24"/>
              </w:rPr>
              <w:t>Link for the supporting documents</w:t>
            </w:r>
          </w:p>
        </w:tc>
        <w:tc>
          <w:tcPr>
            <w:tcW w:w="1054" w:type="dxa"/>
            <w:tcBorders>
              <w:top w:val="nil"/>
              <w:left w:val="nil"/>
              <w:bottom w:val="nil"/>
              <w:right w:val="nil"/>
            </w:tcBorders>
          </w:tcPr>
          <w:p w:rsidR="00790EE6" w:rsidRDefault="00500814">
            <w:pPr>
              <w:widowControl w:val="0"/>
              <w:spacing w:after="0"/>
              <w:jc w:val="right"/>
              <w:rPr>
                <w:rFonts w:ascii="Times New Roman" w:eastAsia="Times New Roman" w:hAnsi="Times New Roman"/>
                <w:sz w:val="24"/>
                <w:szCs w:val="24"/>
              </w:rPr>
            </w:pPr>
            <w:r>
              <w:rPr>
                <w:rFonts w:ascii="Times New Roman" w:eastAsia="Times New Roman" w:hAnsi="Times New Roman" w:cs="Mangal"/>
                <w:sz w:val="24"/>
                <w:szCs w:val="24"/>
              </w:rPr>
              <w:t>1</w:t>
            </w:r>
          </w:p>
        </w:tc>
      </w:tr>
      <w:tr w:rsidR="00790EE6">
        <w:trPr>
          <w:trHeight w:val="454"/>
        </w:trPr>
        <w:tc>
          <w:tcPr>
            <w:tcW w:w="959" w:type="dxa"/>
            <w:tcBorders>
              <w:top w:val="nil"/>
              <w:left w:val="nil"/>
              <w:bottom w:val="nil"/>
              <w:right w:val="nil"/>
            </w:tcBorders>
          </w:tcPr>
          <w:p w:rsidR="00790EE6" w:rsidRDefault="00790EE6">
            <w:pPr>
              <w:widowControl w:val="0"/>
              <w:numPr>
                <w:ilvl w:val="0"/>
                <w:numId w:val="1"/>
              </w:numPr>
              <w:spacing w:after="0" w:line="240" w:lineRule="auto"/>
              <w:contextualSpacing/>
              <w:rPr>
                <w:rFonts w:ascii="Times New Roman" w:eastAsia="Times New Roman" w:hAnsi="Times New Roman"/>
                <w:sz w:val="24"/>
                <w:szCs w:val="24"/>
              </w:rPr>
            </w:pPr>
          </w:p>
        </w:tc>
        <w:tc>
          <w:tcPr>
            <w:tcW w:w="7229" w:type="dxa"/>
            <w:tcBorders>
              <w:top w:val="nil"/>
              <w:left w:val="nil"/>
              <w:bottom w:val="nil"/>
              <w:right w:val="nil"/>
            </w:tcBorders>
          </w:tcPr>
          <w:p w:rsidR="00790EE6" w:rsidRDefault="00500814">
            <w:pPr>
              <w:widowControl w:val="0"/>
              <w:spacing w:after="0"/>
              <w:rPr>
                <w:rFonts w:ascii="Times New Roman" w:eastAsia="Times New Roman" w:hAnsi="Times New Roman"/>
                <w:sz w:val="24"/>
                <w:szCs w:val="24"/>
              </w:rPr>
            </w:pPr>
            <w:r>
              <w:rPr>
                <w:rFonts w:ascii="Times New Roman" w:eastAsia="Times New Roman" w:hAnsi="Times New Roman" w:cs="Mangal"/>
                <w:sz w:val="24"/>
                <w:szCs w:val="24"/>
              </w:rPr>
              <w:t>The institution / non- government scholarships</w:t>
            </w:r>
          </w:p>
        </w:tc>
        <w:tc>
          <w:tcPr>
            <w:tcW w:w="1054" w:type="dxa"/>
            <w:tcBorders>
              <w:top w:val="nil"/>
              <w:left w:val="nil"/>
              <w:bottom w:val="nil"/>
              <w:right w:val="nil"/>
            </w:tcBorders>
          </w:tcPr>
          <w:p w:rsidR="00790EE6" w:rsidRDefault="00500814">
            <w:pPr>
              <w:widowControl w:val="0"/>
              <w:spacing w:after="0"/>
              <w:jc w:val="right"/>
              <w:rPr>
                <w:rFonts w:ascii="Times New Roman" w:eastAsia="Times New Roman" w:hAnsi="Times New Roman"/>
                <w:sz w:val="24"/>
                <w:szCs w:val="24"/>
              </w:rPr>
            </w:pPr>
            <w:r>
              <w:rPr>
                <w:rFonts w:ascii="Times New Roman" w:eastAsia="Times New Roman" w:hAnsi="Times New Roman" w:cs="Mangal"/>
                <w:sz w:val="24"/>
                <w:szCs w:val="24"/>
              </w:rPr>
              <w:t>2</w:t>
            </w:r>
          </w:p>
        </w:tc>
      </w:tr>
    </w:tbl>
    <w:p w:rsidR="00790EE6" w:rsidRDefault="00790EE6">
      <w:pPr>
        <w:spacing w:after="0" w:line="360" w:lineRule="auto"/>
        <w:jc w:val="both"/>
        <w:rPr>
          <w:rFonts w:ascii="Times New Roman" w:eastAsia="Times New Roman" w:hAnsi="Times New Roman" w:cs="Times New Roman"/>
          <w:sz w:val="24"/>
          <w:szCs w:val="24"/>
          <w:lang w:bidi="hi-IN"/>
        </w:rPr>
      </w:pPr>
    </w:p>
    <w:p w:rsidR="00790EE6" w:rsidRDefault="00500814">
      <w:pPr>
        <w:spacing w:after="12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Amrutvahini </w:t>
      </w:r>
      <w:r>
        <w:rPr>
          <w:rFonts w:ascii="Times New Roman" w:eastAsia="Times New Roman" w:hAnsi="Times New Roman" w:cs="Times New Roman"/>
          <w:sz w:val="24"/>
          <w:szCs w:val="24"/>
          <w:lang w:bidi="hi-IN"/>
        </w:rPr>
        <w:t>college of Engineering is permanently affiliated with Savitribai Phule Pune University. Apart from the government scholarship, to encourage the students in academic college has started the scholarship named Sahakar Maharshi Bhausaheb Santuji Thorat (SMBT)/</w:t>
      </w:r>
      <w:r>
        <w:rPr>
          <w:rFonts w:ascii="Times New Roman" w:eastAsia="Times New Roman" w:hAnsi="Times New Roman" w:cs="Times New Roman"/>
          <w:sz w:val="24"/>
          <w:szCs w:val="24"/>
          <w:lang w:bidi="hi-IN"/>
        </w:rPr>
        <w:t>Amrut Meritorious Scholarship (AMS) for the students who excel in academics.</w:t>
      </w:r>
    </w:p>
    <w:p w:rsidR="00790EE6" w:rsidRDefault="00500814">
      <w:pPr>
        <w:numPr>
          <w:ilvl w:val="0"/>
          <w:numId w:val="2"/>
        </w:numPr>
        <w:spacing w:after="12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SMBT/Amrut Meritorious Scholarship. - Students who scores the SGPA of 9.5 and above in an End-Semester examination conducted by the University are eligible to receive the SMBT Sch</w:t>
      </w:r>
      <w:r>
        <w:rPr>
          <w:rFonts w:ascii="Times New Roman" w:eastAsia="Times New Roman" w:hAnsi="Times New Roman" w:cs="Times New Roman"/>
          <w:sz w:val="24"/>
          <w:szCs w:val="24"/>
          <w:lang w:bidi="hi-IN"/>
        </w:rPr>
        <w:t>olarship.</w:t>
      </w:r>
    </w:p>
    <w:p w:rsidR="00790EE6" w:rsidRDefault="00500814">
      <w:pPr>
        <w:numPr>
          <w:ilvl w:val="0"/>
          <w:numId w:val="2"/>
        </w:numPr>
        <w:spacing w:after="120" w:line="360" w:lineRule="auto"/>
        <w:jc w:val="both"/>
        <w:rPr>
          <w:rFonts w:ascii="Times New Roman" w:eastAsia="Times New Roman" w:hAnsi="Times New Roman" w:cs="Times New Roman"/>
          <w:lang w:bidi="hi-IN"/>
        </w:rPr>
      </w:pPr>
      <w:r>
        <w:rPr>
          <w:rFonts w:ascii="Times New Roman" w:eastAsia="Times New Roman" w:hAnsi="Times New Roman" w:cs="Times New Roman"/>
          <w:sz w:val="24"/>
          <w:szCs w:val="24"/>
          <w:lang w:bidi="hi-IN"/>
        </w:rPr>
        <w:t>Cummins India Foundation’s “Cummins Scholarship Program”, Scholarships from NGO’s /Other Institutes/Private entities-eligible students should apply online -</w:t>
      </w:r>
    </w:p>
    <w:p w:rsidR="00790EE6" w:rsidRDefault="00500814">
      <w:pPr>
        <w:pStyle w:val="ListParagraph"/>
        <w:numPr>
          <w:ilvl w:val="0"/>
          <w:numId w:val="4"/>
        </w:numPr>
        <w:spacing w:before="240" w:after="120"/>
        <w:ind w:left="425" w:hanging="425"/>
        <w:contextualSpacing w:val="0"/>
        <w:jc w:val="both"/>
        <w:rPr>
          <w:rFonts w:ascii="Times New Roman" w:eastAsia="Times New Roman" w:hAnsi="Times New Roman"/>
          <w:b/>
          <w:sz w:val="32"/>
          <w:szCs w:val="32"/>
          <w:lang w:bidi="hi-IN"/>
        </w:rPr>
      </w:pPr>
      <w:r>
        <w:rPr>
          <w:rFonts w:ascii="Times New Roman" w:eastAsia="Times New Roman" w:hAnsi="Times New Roman"/>
          <w:b/>
          <w:sz w:val="32"/>
          <w:szCs w:val="32"/>
          <w:lang w:bidi="hi-IN"/>
        </w:rPr>
        <w:t>Link for the supporting documents</w:t>
      </w:r>
    </w:p>
    <w:p w:rsidR="00790EE6" w:rsidRDefault="00500814">
      <w:pPr>
        <w:spacing w:after="12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Use a link given in Table below for self-attested </w:t>
      </w:r>
      <w:r>
        <w:rPr>
          <w:rFonts w:ascii="Times New Roman" w:eastAsia="Times New Roman" w:hAnsi="Times New Roman" w:cs="Times New Roman"/>
          <w:sz w:val="24"/>
          <w:szCs w:val="24"/>
          <w:lang w:bidi="hi-IN"/>
        </w:rPr>
        <w:t>letter with the list of student’s sanctioned scholarship for the last year.  Link has a folder that contain .pdf file as supporting documents.</w:t>
      </w:r>
    </w:p>
    <w:tbl>
      <w:tblPr>
        <w:tblStyle w:val="TableGrid"/>
        <w:tblW w:w="4893" w:type="pct"/>
        <w:tblInd w:w="198" w:type="dxa"/>
        <w:tblLayout w:type="fixed"/>
        <w:tblLook w:val="04A0" w:firstRow="1" w:lastRow="0" w:firstColumn="1" w:lastColumn="0" w:noHBand="0" w:noVBand="1"/>
      </w:tblPr>
      <w:tblGrid>
        <w:gridCol w:w="1080"/>
        <w:gridCol w:w="4590"/>
        <w:gridCol w:w="3374"/>
      </w:tblGrid>
      <w:tr w:rsidR="00790EE6" w:rsidTr="008F4190">
        <w:trPr>
          <w:trHeight w:val="397"/>
        </w:trPr>
        <w:tc>
          <w:tcPr>
            <w:tcW w:w="1080" w:type="dxa"/>
          </w:tcPr>
          <w:p w:rsidR="00790EE6" w:rsidRDefault="00500814" w:rsidP="008F4190">
            <w:pPr>
              <w:pStyle w:val="ListParagraph"/>
              <w:widowControl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lang w:eastAsia="en-IN"/>
              </w:rPr>
              <w:t>Sr. No.</w:t>
            </w:r>
          </w:p>
        </w:tc>
        <w:tc>
          <w:tcPr>
            <w:tcW w:w="4590" w:type="dxa"/>
          </w:tcPr>
          <w:p w:rsidR="00790EE6" w:rsidRDefault="00500814" w:rsidP="008F4190">
            <w:pPr>
              <w:pStyle w:val="ListParagraph"/>
              <w:widowControl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lang w:eastAsia="en-IN"/>
              </w:rPr>
              <w:t>File Description</w:t>
            </w:r>
          </w:p>
        </w:tc>
        <w:tc>
          <w:tcPr>
            <w:tcW w:w="3374" w:type="dxa"/>
          </w:tcPr>
          <w:p w:rsidR="00790EE6" w:rsidRDefault="00500814" w:rsidP="008F4190">
            <w:pPr>
              <w:pStyle w:val="ListParagraph"/>
              <w:widowControl w:val="0"/>
              <w:spacing w:after="0" w:line="240" w:lineRule="auto"/>
              <w:ind w:left="0"/>
              <w:contextualSpacing w:val="0"/>
              <w:jc w:val="center"/>
              <w:rPr>
                <w:rFonts w:ascii="Times New Roman" w:hAnsi="Times New Roman"/>
                <w:b/>
                <w:sz w:val="24"/>
                <w:szCs w:val="24"/>
              </w:rPr>
            </w:pPr>
            <w:r>
              <w:rPr>
                <w:rFonts w:ascii="Times New Roman" w:hAnsi="Times New Roman"/>
                <w:b/>
                <w:sz w:val="24"/>
                <w:szCs w:val="24"/>
                <w:lang w:eastAsia="en-IN"/>
              </w:rPr>
              <w:t>Link to open</w:t>
            </w:r>
          </w:p>
        </w:tc>
      </w:tr>
      <w:tr w:rsidR="00790EE6" w:rsidTr="008F4190">
        <w:trPr>
          <w:trHeight w:val="397"/>
        </w:trPr>
        <w:tc>
          <w:tcPr>
            <w:tcW w:w="1080" w:type="dxa"/>
          </w:tcPr>
          <w:p w:rsidR="00790EE6" w:rsidRDefault="00790EE6">
            <w:pPr>
              <w:pStyle w:val="ListParagraph"/>
              <w:widowControl w:val="0"/>
              <w:numPr>
                <w:ilvl w:val="0"/>
                <w:numId w:val="3"/>
              </w:numPr>
              <w:spacing w:after="0" w:line="240" w:lineRule="auto"/>
              <w:contextualSpacing w:val="0"/>
              <w:rPr>
                <w:rFonts w:ascii="Times New Roman" w:hAnsi="Times New Roman"/>
                <w:sz w:val="24"/>
                <w:szCs w:val="24"/>
              </w:rPr>
            </w:pPr>
          </w:p>
        </w:tc>
        <w:tc>
          <w:tcPr>
            <w:tcW w:w="4590" w:type="dxa"/>
          </w:tcPr>
          <w:p w:rsidR="00790EE6" w:rsidRDefault="00500814" w:rsidP="008F4190">
            <w:pPr>
              <w:widowControl w:val="0"/>
              <w:spacing w:after="120"/>
              <w:jc w:val="both"/>
              <w:rPr>
                <w:rFonts w:ascii="Times New Roman" w:hAnsi="Times New Roman"/>
                <w:b/>
                <w:sz w:val="24"/>
                <w:szCs w:val="24"/>
              </w:rPr>
            </w:pPr>
            <w:r>
              <w:rPr>
                <w:rFonts w:ascii="Times New Roman" w:eastAsia="Times New Roman" w:hAnsi="Times New Roman" w:cs="Times New Roman"/>
                <w:sz w:val="24"/>
                <w:szCs w:val="24"/>
                <w:lang w:bidi="hi-IN"/>
              </w:rPr>
              <w:t xml:space="preserve">List of students benefited by scholarships and </w:t>
            </w:r>
            <w:r w:rsidR="008F4190">
              <w:rPr>
                <w:rFonts w:ascii="Times New Roman" w:eastAsia="Times New Roman" w:hAnsi="Times New Roman" w:cs="Times New Roman"/>
                <w:sz w:val="24"/>
                <w:szCs w:val="24"/>
                <w:lang w:bidi="hi-IN"/>
              </w:rPr>
              <w:t>free ships</w:t>
            </w:r>
            <w:r>
              <w:rPr>
                <w:rFonts w:ascii="Times New Roman" w:eastAsia="Times New Roman" w:hAnsi="Times New Roman" w:cs="Times New Roman"/>
                <w:sz w:val="24"/>
                <w:szCs w:val="24"/>
                <w:lang w:bidi="hi-IN"/>
              </w:rPr>
              <w:t xml:space="preserve"> provided by the </w:t>
            </w:r>
            <w:r w:rsidR="008F4190">
              <w:rPr>
                <w:rFonts w:ascii="Times New Roman" w:eastAsia="Times New Roman" w:hAnsi="Times New Roman" w:cs="Times New Roman"/>
                <w:sz w:val="24"/>
                <w:szCs w:val="24"/>
                <w:lang w:bidi="hi-IN"/>
              </w:rPr>
              <w:t>I</w:t>
            </w:r>
            <w:r>
              <w:rPr>
                <w:rFonts w:ascii="Times New Roman" w:eastAsia="Times New Roman" w:hAnsi="Times New Roman" w:cs="Times New Roman"/>
                <w:sz w:val="24"/>
                <w:szCs w:val="24"/>
                <w:lang w:bidi="hi-IN"/>
              </w:rPr>
              <w:t>nstitution / non- government agencies during the year 2023-24</w:t>
            </w:r>
          </w:p>
        </w:tc>
        <w:tc>
          <w:tcPr>
            <w:tcW w:w="3374" w:type="dxa"/>
            <w:vAlign w:val="center"/>
          </w:tcPr>
          <w:p w:rsidR="00790EE6" w:rsidRDefault="00500814">
            <w:pPr>
              <w:pStyle w:val="ListParagraph"/>
              <w:widowControl w:val="0"/>
              <w:spacing w:after="0" w:line="240" w:lineRule="auto"/>
              <w:ind w:left="0"/>
              <w:contextualSpacing w:val="0"/>
              <w:jc w:val="center"/>
              <w:rPr>
                <w:rFonts w:ascii="Times New Roman" w:hAnsi="Times New Roman"/>
                <w:b/>
                <w:sz w:val="24"/>
                <w:szCs w:val="24"/>
              </w:rPr>
            </w:pPr>
            <w:hyperlink r:id="rId9">
              <w:r>
                <w:rPr>
                  <w:rStyle w:val="Hyperlink"/>
                  <w:rFonts w:ascii="Times New Roman" w:hAnsi="Times New Roman"/>
                  <w:b/>
                  <w:sz w:val="24"/>
                  <w:szCs w:val="24"/>
                  <w:lang w:eastAsia="en-IN"/>
                </w:rPr>
                <w:t>Click Here</w:t>
              </w:r>
            </w:hyperlink>
          </w:p>
          <w:p w:rsidR="00790EE6" w:rsidRDefault="00790EE6">
            <w:pPr>
              <w:pStyle w:val="ListParagraph"/>
              <w:widowControl w:val="0"/>
              <w:spacing w:after="0" w:line="240" w:lineRule="auto"/>
              <w:ind w:left="0"/>
              <w:contextualSpacing w:val="0"/>
              <w:jc w:val="center"/>
              <w:rPr>
                <w:rFonts w:ascii="Times New Roman" w:hAnsi="Times New Roman"/>
                <w:b/>
                <w:sz w:val="24"/>
                <w:szCs w:val="24"/>
              </w:rPr>
            </w:pPr>
          </w:p>
        </w:tc>
      </w:tr>
    </w:tbl>
    <w:p w:rsidR="00790EE6" w:rsidRDefault="00500814">
      <w:pPr>
        <w:pStyle w:val="ListParagraph"/>
        <w:numPr>
          <w:ilvl w:val="0"/>
          <w:numId w:val="4"/>
        </w:numPr>
        <w:spacing w:before="360" w:after="120"/>
        <w:ind w:left="425" w:hanging="425"/>
        <w:contextualSpacing w:val="0"/>
        <w:jc w:val="both"/>
        <w:rPr>
          <w:rFonts w:ascii="Times New Roman" w:eastAsia="Times New Roman" w:hAnsi="Times New Roman"/>
          <w:b/>
          <w:sz w:val="32"/>
          <w:szCs w:val="32"/>
          <w:lang w:bidi="hi-IN"/>
        </w:rPr>
      </w:pPr>
      <w:r>
        <w:rPr>
          <w:rFonts w:ascii="Times New Roman" w:eastAsia="Times New Roman" w:hAnsi="Times New Roman"/>
          <w:b/>
          <w:sz w:val="32"/>
          <w:szCs w:val="32"/>
          <w:lang w:bidi="hi-IN"/>
        </w:rPr>
        <w:lastRenderedPageBreak/>
        <w:t>The institution / non- government scholarships</w:t>
      </w:r>
    </w:p>
    <w:p w:rsidR="00790EE6" w:rsidRDefault="00500814">
      <w:pPr>
        <w:spacing w:after="12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Table below summarize the information </w:t>
      </w:r>
      <w:r>
        <w:rPr>
          <w:rFonts w:ascii="Times New Roman" w:eastAsia="Times New Roman" w:hAnsi="Times New Roman" w:cs="Times New Roman"/>
          <w:sz w:val="24"/>
          <w:szCs w:val="24"/>
          <w:lang w:bidi="hi-IN"/>
        </w:rPr>
        <w:t xml:space="preserve">about number of students benefited and average percentage of students benefited by scholarships and </w:t>
      </w:r>
      <w:r w:rsidR="008F4190">
        <w:rPr>
          <w:rFonts w:ascii="Times New Roman" w:eastAsia="Times New Roman" w:hAnsi="Times New Roman" w:cs="Times New Roman"/>
          <w:sz w:val="24"/>
          <w:szCs w:val="24"/>
          <w:lang w:bidi="hi-IN"/>
        </w:rPr>
        <w:t>free ships</w:t>
      </w:r>
      <w:bookmarkStart w:id="0" w:name="_GoBack"/>
      <w:bookmarkEnd w:id="0"/>
      <w:r>
        <w:rPr>
          <w:rFonts w:ascii="Times New Roman" w:eastAsia="Times New Roman" w:hAnsi="Times New Roman" w:cs="Times New Roman"/>
          <w:sz w:val="24"/>
          <w:szCs w:val="24"/>
          <w:lang w:bidi="hi-IN"/>
        </w:rPr>
        <w:t xml:space="preserve"> provided by the institution / non- government agencies during the year 2023-24.</w:t>
      </w:r>
    </w:p>
    <w:tbl>
      <w:tblPr>
        <w:tblW w:w="5000" w:type="pct"/>
        <w:tblLayout w:type="fixed"/>
        <w:tblLook w:val="04A0" w:firstRow="1" w:lastRow="0" w:firstColumn="1" w:lastColumn="0" w:noHBand="0" w:noVBand="1"/>
      </w:tblPr>
      <w:tblGrid>
        <w:gridCol w:w="7398"/>
        <w:gridCol w:w="1844"/>
      </w:tblGrid>
      <w:tr w:rsidR="00790EE6">
        <w:trPr>
          <w:trHeight w:val="669"/>
        </w:trPr>
        <w:tc>
          <w:tcPr>
            <w:tcW w:w="9025" w:type="dxa"/>
            <w:gridSpan w:val="2"/>
            <w:tcBorders>
              <w:top w:val="single" w:sz="4" w:space="0" w:color="000000"/>
              <w:left w:val="single" w:sz="4" w:space="0" w:color="000000"/>
              <w:bottom w:val="single" w:sz="4" w:space="0" w:color="000000"/>
              <w:right w:val="single" w:sz="4" w:space="0" w:color="000000"/>
            </w:tcBorders>
            <w:shd w:val="clear" w:color="000000" w:fill="DCE6F1"/>
            <w:vAlign w:val="center"/>
          </w:tcPr>
          <w:p w:rsidR="00790EE6" w:rsidRDefault="00500814">
            <w:pPr>
              <w:widowControl w:val="0"/>
              <w:spacing w:after="0" w:line="240" w:lineRule="auto"/>
              <w:jc w:val="center"/>
              <w:rPr>
                <w:rFonts w:ascii="Times New Roman" w:eastAsia="Times New Roman" w:hAnsi="Times New Roman" w:cs="Times New Roman"/>
                <w:b/>
                <w:bCs/>
                <w:i/>
                <w:iCs/>
                <w:color w:val="002060"/>
                <w:sz w:val="24"/>
                <w:szCs w:val="24"/>
                <w:lang w:eastAsia="ko-KR" w:bidi="mr-IN"/>
              </w:rPr>
            </w:pPr>
            <w:r>
              <w:rPr>
                <w:rFonts w:ascii="Times New Roman" w:eastAsia="Times New Roman" w:hAnsi="Times New Roman" w:cs="Times New Roman"/>
                <w:b/>
                <w:bCs/>
                <w:i/>
                <w:iCs/>
                <w:color w:val="002060"/>
                <w:sz w:val="24"/>
                <w:szCs w:val="24"/>
                <w:lang w:val="en-IN" w:eastAsia="ko-KR" w:bidi="mr-IN"/>
              </w:rPr>
              <w:t xml:space="preserve">Number of students benefitted by scholarships, </w:t>
            </w:r>
            <w:r w:rsidR="008F4190">
              <w:rPr>
                <w:rFonts w:ascii="Times New Roman" w:eastAsia="Times New Roman" w:hAnsi="Times New Roman" w:cs="Times New Roman"/>
                <w:b/>
                <w:bCs/>
                <w:i/>
                <w:iCs/>
                <w:color w:val="002060"/>
                <w:sz w:val="24"/>
                <w:szCs w:val="24"/>
                <w:lang w:val="en-IN" w:eastAsia="ko-KR" w:bidi="mr-IN"/>
              </w:rPr>
              <w:t>free ships,</w:t>
            </w:r>
            <w:r>
              <w:rPr>
                <w:rFonts w:ascii="Times New Roman" w:eastAsia="Times New Roman" w:hAnsi="Times New Roman" w:cs="Times New Roman"/>
                <w:b/>
                <w:bCs/>
                <w:i/>
                <w:iCs/>
                <w:color w:val="002060"/>
                <w:sz w:val="24"/>
                <w:szCs w:val="24"/>
                <w:lang w:val="en-IN" w:eastAsia="ko-KR" w:bidi="mr-IN"/>
              </w:rPr>
              <w:t xml:space="preserve"> etc. prov</w:t>
            </w:r>
            <w:r>
              <w:rPr>
                <w:rFonts w:ascii="Times New Roman" w:eastAsia="Times New Roman" w:hAnsi="Times New Roman" w:cs="Times New Roman"/>
                <w:b/>
                <w:bCs/>
                <w:i/>
                <w:iCs/>
                <w:color w:val="002060"/>
                <w:sz w:val="24"/>
                <w:szCs w:val="24"/>
                <w:lang w:val="en-IN" w:eastAsia="ko-KR" w:bidi="mr-IN"/>
              </w:rPr>
              <w:t>ided by the institution / non- government bodies, industries, individuals, philanthropists during the year 2023-24</w:t>
            </w:r>
          </w:p>
        </w:tc>
      </w:tr>
      <w:tr w:rsidR="00790EE6">
        <w:trPr>
          <w:trHeight w:val="330"/>
        </w:trPr>
        <w:tc>
          <w:tcPr>
            <w:tcW w:w="7224" w:type="dxa"/>
            <w:tcBorders>
              <w:left w:val="single" w:sz="4" w:space="0" w:color="000000"/>
              <w:bottom w:val="single" w:sz="4" w:space="0" w:color="000000"/>
              <w:right w:val="single" w:sz="4" w:space="0" w:color="000000"/>
            </w:tcBorders>
            <w:shd w:val="clear" w:color="auto" w:fill="auto"/>
            <w:vAlign w:val="center"/>
          </w:tcPr>
          <w:p w:rsidR="00790EE6" w:rsidRDefault="00500814">
            <w:pPr>
              <w:widowControl w:val="0"/>
              <w:spacing w:after="0" w:line="240" w:lineRule="auto"/>
              <w:rPr>
                <w:rFonts w:ascii="Book Antiqua" w:eastAsia="Times New Roman" w:hAnsi="Book Antiqua" w:cs="Arial"/>
                <w:b/>
                <w:bCs/>
                <w:color w:val="000000"/>
                <w:lang w:eastAsia="ko-KR" w:bidi="mr-IN"/>
              </w:rPr>
            </w:pPr>
            <w:r>
              <w:rPr>
                <w:rFonts w:ascii="Book Antiqua" w:eastAsia="Times New Roman" w:hAnsi="Book Antiqua" w:cs="Arial"/>
                <w:b/>
                <w:bCs/>
                <w:color w:val="000000"/>
                <w:lang w:val="en-IN" w:eastAsia="ko-KR" w:bidi="mr-IN"/>
              </w:rPr>
              <w:t>Sahakar Maharshi Bhausaheb Santuji Thorat (SMBT)/Amrut Meritorious Scholarship (AMS)</w:t>
            </w:r>
          </w:p>
        </w:tc>
        <w:tc>
          <w:tcPr>
            <w:tcW w:w="1801" w:type="dxa"/>
            <w:tcBorders>
              <w:bottom w:val="single" w:sz="4" w:space="0" w:color="000000"/>
              <w:right w:val="single" w:sz="4" w:space="0" w:color="000000"/>
            </w:tcBorders>
            <w:shd w:val="clear" w:color="auto" w:fill="auto"/>
            <w:vAlign w:val="center"/>
          </w:tcPr>
          <w:p w:rsidR="00790EE6" w:rsidRDefault="00500814">
            <w:pPr>
              <w:widowControl w:val="0"/>
              <w:spacing w:after="0" w:line="240" w:lineRule="auto"/>
              <w:jc w:val="center"/>
              <w:rPr>
                <w:rFonts w:ascii="Book Antiqua" w:eastAsia="Times New Roman" w:hAnsi="Book Antiqua" w:cs="Arial"/>
                <w:color w:val="000000"/>
                <w:lang w:eastAsia="ko-KR" w:bidi="mr-IN"/>
              </w:rPr>
            </w:pPr>
            <w:r>
              <w:rPr>
                <w:rFonts w:ascii="Book Antiqua" w:eastAsia="Times New Roman" w:hAnsi="Book Antiqua" w:cs="Arial"/>
                <w:color w:val="000000"/>
                <w:lang w:eastAsia="ko-KR" w:bidi="mr-IN"/>
              </w:rPr>
              <w:t>205</w:t>
            </w:r>
          </w:p>
        </w:tc>
      </w:tr>
      <w:tr w:rsidR="00790EE6">
        <w:trPr>
          <w:trHeight w:val="330"/>
        </w:trPr>
        <w:tc>
          <w:tcPr>
            <w:tcW w:w="7224" w:type="dxa"/>
            <w:tcBorders>
              <w:left w:val="single" w:sz="4" w:space="0" w:color="000000"/>
              <w:bottom w:val="single" w:sz="4" w:space="0" w:color="000000"/>
              <w:right w:val="single" w:sz="4" w:space="0" w:color="000000"/>
            </w:tcBorders>
            <w:shd w:val="clear" w:color="auto" w:fill="auto"/>
            <w:vAlign w:val="center"/>
          </w:tcPr>
          <w:p w:rsidR="00790EE6" w:rsidRDefault="00500814">
            <w:pPr>
              <w:widowControl w:val="0"/>
              <w:spacing w:after="0" w:line="240" w:lineRule="auto"/>
              <w:rPr>
                <w:rFonts w:ascii="Book Antiqua" w:eastAsia="Times New Roman" w:hAnsi="Book Antiqua" w:cs="Arial"/>
                <w:b/>
                <w:bCs/>
                <w:color w:val="000000"/>
                <w:lang w:eastAsia="ko-KR" w:bidi="mr-IN"/>
              </w:rPr>
            </w:pPr>
            <w:r>
              <w:rPr>
                <w:rFonts w:ascii="Book Antiqua" w:eastAsia="Times New Roman" w:hAnsi="Book Antiqua" w:cs="Arial"/>
                <w:b/>
                <w:bCs/>
                <w:color w:val="000000"/>
                <w:lang w:val="en-IN" w:eastAsia="ko-KR" w:bidi="mr-IN"/>
              </w:rPr>
              <w:t>Total No. of student</w:t>
            </w:r>
            <w:r w:rsidR="008F4190">
              <w:rPr>
                <w:rFonts w:ascii="Book Antiqua" w:eastAsia="Times New Roman" w:hAnsi="Book Antiqua" w:cs="Arial"/>
                <w:b/>
                <w:bCs/>
                <w:color w:val="000000"/>
                <w:lang w:val="en-IN" w:eastAsia="ko-KR" w:bidi="mr-IN"/>
              </w:rPr>
              <w:t>s</w:t>
            </w:r>
          </w:p>
        </w:tc>
        <w:tc>
          <w:tcPr>
            <w:tcW w:w="1801" w:type="dxa"/>
            <w:tcBorders>
              <w:bottom w:val="single" w:sz="4" w:space="0" w:color="000000"/>
              <w:right w:val="single" w:sz="4" w:space="0" w:color="000000"/>
            </w:tcBorders>
            <w:shd w:val="clear" w:color="auto" w:fill="auto"/>
            <w:vAlign w:val="center"/>
          </w:tcPr>
          <w:p w:rsidR="00790EE6" w:rsidRDefault="00500814">
            <w:pPr>
              <w:widowControl w:val="0"/>
              <w:spacing w:after="0" w:line="240" w:lineRule="auto"/>
              <w:jc w:val="center"/>
              <w:rPr>
                <w:rFonts w:ascii="Book Antiqua" w:eastAsia="Times New Roman" w:hAnsi="Book Antiqua" w:cs="Arial"/>
                <w:color w:val="000000"/>
                <w:lang w:eastAsia="ko-KR" w:bidi="mr-IN"/>
              </w:rPr>
            </w:pPr>
            <w:r>
              <w:rPr>
                <w:rFonts w:ascii="Book Antiqua" w:eastAsia="Times New Roman" w:hAnsi="Book Antiqua" w:cs="Arial"/>
                <w:color w:val="000000"/>
                <w:lang w:eastAsia="ko-KR" w:bidi="mr-IN"/>
              </w:rPr>
              <w:t>3128</w:t>
            </w:r>
          </w:p>
        </w:tc>
      </w:tr>
      <w:tr w:rsidR="00790EE6">
        <w:trPr>
          <w:trHeight w:val="330"/>
        </w:trPr>
        <w:tc>
          <w:tcPr>
            <w:tcW w:w="7224" w:type="dxa"/>
            <w:tcBorders>
              <w:left w:val="single" w:sz="4" w:space="0" w:color="000000"/>
              <w:bottom w:val="single" w:sz="4" w:space="0" w:color="000000"/>
              <w:right w:val="single" w:sz="4" w:space="0" w:color="000000"/>
            </w:tcBorders>
            <w:shd w:val="clear" w:color="000000" w:fill="FDE9D9"/>
            <w:vAlign w:val="center"/>
          </w:tcPr>
          <w:p w:rsidR="00790EE6" w:rsidRDefault="00500814">
            <w:pPr>
              <w:widowControl w:val="0"/>
              <w:spacing w:after="0" w:line="240" w:lineRule="auto"/>
              <w:rPr>
                <w:rFonts w:ascii="Book Antiqua" w:eastAsia="Times New Roman" w:hAnsi="Book Antiqua" w:cs="Arial"/>
                <w:b/>
                <w:bCs/>
                <w:color w:val="000000"/>
                <w:sz w:val="24"/>
                <w:szCs w:val="24"/>
                <w:lang w:eastAsia="ko-KR" w:bidi="mr-IN"/>
              </w:rPr>
            </w:pPr>
            <w:bookmarkStart w:id="1" w:name="_GoBack1"/>
            <w:bookmarkEnd w:id="1"/>
            <w:r>
              <w:rPr>
                <w:rFonts w:ascii="Book Antiqua" w:eastAsia="Times New Roman" w:hAnsi="Book Antiqua" w:cs="Arial"/>
                <w:b/>
                <w:bCs/>
                <w:color w:val="000000"/>
                <w:sz w:val="24"/>
                <w:szCs w:val="24"/>
                <w:lang w:val="en-IN" w:eastAsia="ko-KR" w:bidi="mr-IN"/>
              </w:rPr>
              <w:t>Percentage per year</w:t>
            </w:r>
          </w:p>
        </w:tc>
        <w:tc>
          <w:tcPr>
            <w:tcW w:w="1801" w:type="dxa"/>
            <w:tcBorders>
              <w:bottom w:val="single" w:sz="4" w:space="0" w:color="000000"/>
              <w:right w:val="single" w:sz="4" w:space="0" w:color="000000"/>
            </w:tcBorders>
            <w:shd w:val="clear" w:color="000000" w:fill="FDE9D9"/>
            <w:vAlign w:val="center"/>
          </w:tcPr>
          <w:p w:rsidR="00790EE6" w:rsidRDefault="00500814">
            <w:pPr>
              <w:widowControl w:val="0"/>
              <w:spacing w:after="0" w:line="240" w:lineRule="auto"/>
              <w:jc w:val="center"/>
              <w:rPr>
                <w:rFonts w:ascii="Book Antiqua" w:eastAsia="Times New Roman" w:hAnsi="Book Antiqua" w:cs="Arial"/>
                <w:color w:val="000000"/>
                <w:sz w:val="24"/>
                <w:szCs w:val="24"/>
                <w:lang w:eastAsia="ko-KR" w:bidi="mr-IN"/>
              </w:rPr>
            </w:pPr>
            <w:r>
              <w:rPr>
                <w:rFonts w:ascii="Book Antiqua" w:eastAsia="Times New Roman" w:hAnsi="Book Antiqua" w:cs="Arial"/>
                <w:color w:val="000000"/>
                <w:sz w:val="24"/>
                <w:szCs w:val="24"/>
                <w:lang w:eastAsia="ko-KR" w:bidi="mr-IN"/>
              </w:rPr>
              <w:t>6.55</w:t>
            </w:r>
          </w:p>
        </w:tc>
      </w:tr>
    </w:tbl>
    <w:p w:rsidR="00790EE6" w:rsidRDefault="00790EE6">
      <w:pPr>
        <w:spacing w:after="0"/>
        <w:jc w:val="center"/>
        <w:rPr>
          <w:rFonts w:ascii="Times New Roman" w:eastAsia="Times New Roman" w:hAnsi="Times New Roman"/>
          <w:color w:val="FF0000"/>
          <w:sz w:val="24"/>
          <w:szCs w:val="24"/>
        </w:rPr>
      </w:pPr>
    </w:p>
    <w:sectPr w:rsidR="00790EE6">
      <w:headerReference w:type="default" r:id="rId10"/>
      <w:footerReference w:type="default" r:id="rId11"/>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14" w:rsidRDefault="00500814">
      <w:pPr>
        <w:spacing w:after="0" w:line="240" w:lineRule="auto"/>
      </w:pPr>
      <w:r>
        <w:separator/>
      </w:r>
    </w:p>
  </w:endnote>
  <w:endnote w:type="continuationSeparator" w:id="0">
    <w:p w:rsidR="00500814" w:rsidRDefault="0050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092265"/>
      <w:docPartObj>
        <w:docPartGallery w:val="Page Numbers (Bottom of Page)"/>
        <w:docPartUnique/>
      </w:docPartObj>
    </w:sdtPr>
    <w:sdtEndPr/>
    <w:sdtContent>
      <w:p w:rsidR="00790EE6" w:rsidRDefault="00500814">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F4190">
          <w:rPr>
            <w:rFonts w:ascii="Times New Roman" w:hAnsi="Times New Roman" w:cs="Times New Roman"/>
            <w:noProof/>
          </w:rPr>
          <w:t>1</w:t>
        </w:r>
        <w:r>
          <w:rPr>
            <w:rFonts w:ascii="Times New Roman" w:hAnsi="Times New Roman" w:cs="Times New Roman"/>
          </w:rPr>
          <w:fldChar w:fldCharType="end"/>
        </w:r>
      </w:p>
    </w:sdtContent>
  </w:sdt>
  <w:p w:rsidR="00790EE6" w:rsidRDefault="00790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14" w:rsidRDefault="00500814">
      <w:pPr>
        <w:spacing w:after="0" w:line="240" w:lineRule="auto"/>
      </w:pPr>
      <w:r>
        <w:separator/>
      </w:r>
    </w:p>
  </w:footnote>
  <w:footnote w:type="continuationSeparator" w:id="0">
    <w:p w:rsidR="00500814" w:rsidRDefault="00500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Layout w:type="fixed"/>
      <w:tblLook w:val="04A0" w:firstRow="1" w:lastRow="0" w:firstColumn="1" w:lastColumn="0" w:noHBand="0" w:noVBand="1"/>
    </w:tblPr>
    <w:tblGrid>
      <w:gridCol w:w="1668"/>
      <w:gridCol w:w="7575"/>
    </w:tblGrid>
    <w:tr w:rsidR="00790EE6">
      <w:trPr>
        <w:trHeight w:val="1343"/>
      </w:trPr>
      <w:tc>
        <w:tcPr>
          <w:tcW w:w="1668" w:type="dxa"/>
          <w:tcBorders>
            <w:top w:val="nil"/>
            <w:left w:val="nil"/>
            <w:bottom w:val="thickThinSmallGap" w:sz="12" w:space="0" w:color="000000"/>
            <w:right w:val="nil"/>
          </w:tcBorders>
        </w:tcPr>
        <w:p w:rsidR="00790EE6" w:rsidRDefault="00500814">
          <w:pPr>
            <w:widowControl w:val="0"/>
            <w:spacing w:after="0" w:line="240" w:lineRule="auto"/>
            <w:rPr>
              <w:rFonts w:ascii="Calibri" w:eastAsia="Calibri" w:hAnsi="Calibri" w:cs="Mangal"/>
            </w:rPr>
          </w:pPr>
          <w:r>
            <w:rPr>
              <w:noProof/>
            </w:rPr>
            <w:drawing>
              <wp:inline distT="0" distB="0" distL="0" distR="0">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tcBorders>
            <w:top w:val="nil"/>
            <w:left w:val="nil"/>
            <w:bottom w:val="thickThinSmallGap" w:sz="12" w:space="0" w:color="000000"/>
            <w:right w:val="nil"/>
          </w:tcBorders>
          <w:vAlign w:val="center"/>
        </w:tcPr>
        <w:p w:rsidR="00790EE6" w:rsidRDefault="00500814">
          <w:pPr>
            <w:widowControl w:val="0"/>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rsidR="00790EE6" w:rsidRDefault="00790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439"/>
    <w:multiLevelType w:val="multilevel"/>
    <w:tmpl w:val="F07C6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D1E4066"/>
    <w:multiLevelType w:val="multilevel"/>
    <w:tmpl w:val="B0D8D9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5A41E5"/>
    <w:multiLevelType w:val="multilevel"/>
    <w:tmpl w:val="5DF84704"/>
    <w:lvl w:ilvl="0">
      <w:start w:val="1"/>
      <w:numFmt w:val="decimal"/>
      <w:lvlText w:val="%1."/>
      <w:lvlJc w:val="righ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6542614E"/>
    <w:multiLevelType w:val="multilevel"/>
    <w:tmpl w:val="84A666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7930080C"/>
    <w:multiLevelType w:val="multilevel"/>
    <w:tmpl w:val="D47AC5BA"/>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E6"/>
    <w:rsid w:val="00500814"/>
    <w:rsid w:val="00790EE6"/>
    <w:rsid w:val="008F4190"/>
  </w:rsids>
  <m:mathPr>
    <m:mathFont m:val="Cambria Math"/>
    <m:brkBin m:val="before"/>
    <m:brkBinSub m:val="--"/>
    <m:smallFrac m:val="0"/>
    <m:dispDef/>
    <m:lMargin m:val="0"/>
    <m:rMargin m:val="0"/>
    <m:defJc m:val="centerGroup"/>
    <m:wrapIndent m:val="1440"/>
    <m:intLim m:val="subSup"/>
    <m:naryLim m:val="undOvr"/>
  </m:mathPr>
  <w:themeFontLang w:val="en-US" w:eastAsia="ii-C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paragraph" w:customStyle="1" w:styleId="TableParagraph">
    <w:name w:val="Table Paragraph"/>
    <w:basedOn w:val="Normal"/>
    <w:uiPriority w:val="1"/>
    <w:qFormat/>
    <w:rsid w:val="00C40A1D"/>
    <w:pPr>
      <w:widowControl w:val="0"/>
      <w:spacing w:after="0" w:line="240" w:lineRule="auto"/>
    </w:pPr>
    <w:rPr>
      <w:rFonts w:ascii="Calibri" w:eastAsia="Calibri" w:hAnsi="Calibri" w:cs="Calibri"/>
      <w:lang w:bidi="en-US"/>
    </w:rPr>
  </w:style>
  <w:style w:type="table" w:styleId="TableGrid">
    <w:name w:val="Table Grid"/>
    <w:basedOn w:val="TableNormal"/>
    <w:uiPriority w:val="59"/>
    <w:rsid w:val="009C632D"/>
    <w:rPr>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paragraph" w:customStyle="1" w:styleId="TableParagraph">
    <w:name w:val="Table Paragraph"/>
    <w:basedOn w:val="Normal"/>
    <w:uiPriority w:val="1"/>
    <w:qFormat/>
    <w:rsid w:val="00C40A1D"/>
    <w:pPr>
      <w:widowControl w:val="0"/>
      <w:spacing w:after="0" w:line="240" w:lineRule="auto"/>
    </w:pPr>
    <w:rPr>
      <w:rFonts w:ascii="Calibri" w:eastAsia="Calibri" w:hAnsi="Calibri" w:cs="Calibri"/>
      <w:lang w:bidi="en-US"/>
    </w:rPr>
  </w:style>
  <w:style w:type="table" w:styleId="TableGrid">
    <w:name w:val="Table Grid"/>
    <w:basedOn w:val="TableNormal"/>
    <w:uiPriority w:val="59"/>
    <w:rsid w:val="009C632D"/>
    <w:rPr>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vcoe.org/NAAC/AQAR2022-23/CR5/5.1.2/Proof/List%20of%20stud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900A-BD94-427B-A34D-DC5F2E0C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IQAC2</cp:lastModifiedBy>
  <cp:revision>15</cp:revision>
  <cp:lastPrinted>2023-12-15T06:52:00Z</cp:lastPrinted>
  <dcterms:created xsi:type="dcterms:W3CDTF">2023-02-09T16:16:00Z</dcterms:created>
  <dcterms:modified xsi:type="dcterms:W3CDTF">2024-12-10T07:12:00Z</dcterms:modified>
  <dc:language>en-IN</dc:language>
</cp:coreProperties>
</file>