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9A847" w14:textId="77777777" w:rsidR="00E976EB" w:rsidRPr="00D03349" w:rsidRDefault="00E976EB" w:rsidP="00E976EB">
      <w:pPr>
        <w:rPr>
          <w:rFonts w:ascii="Times New Roman" w:hAnsi="Times New Roman" w:cs="Times New Roman"/>
          <w:b/>
        </w:rPr>
      </w:pPr>
      <w:r w:rsidRPr="00D03349">
        <w:rPr>
          <w:rFonts w:ascii="Times New Roman" w:hAnsi="Times New Roman" w:cs="Times New Roman"/>
          <w:b/>
        </w:rPr>
        <w:t>3.2.1 Institution has created an ecosystem for innovations and has initiatives for creation and transfer of knowledge</w:t>
      </w:r>
    </w:p>
    <w:p w14:paraId="14799DD7" w14:textId="77777777" w:rsidR="00E976EB" w:rsidRPr="00D03349" w:rsidRDefault="00E976EB" w:rsidP="00E976EB">
      <w:pPr>
        <w:jc w:val="both"/>
        <w:rPr>
          <w:rFonts w:ascii="Times New Roman" w:hAnsi="Times New Roman" w:cs="Times New Roman"/>
          <w:b/>
        </w:rPr>
      </w:pPr>
      <w:r w:rsidRPr="00D03349">
        <w:rPr>
          <w:rFonts w:ascii="Times New Roman" w:hAnsi="Times New Roman" w:cs="Times New Roman"/>
        </w:rPr>
        <w:t xml:space="preserve"> </w:t>
      </w:r>
      <w:r w:rsidRPr="00D03349">
        <w:rPr>
          <w:rFonts w:ascii="Times New Roman" w:hAnsi="Times New Roman" w:cs="Times New Roman"/>
          <w:b/>
        </w:rPr>
        <w:t>Response:</w:t>
      </w:r>
    </w:p>
    <w:p w14:paraId="18A8F6C2" w14:textId="77777777" w:rsidR="00E62E56" w:rsidRPr="00E976EB" w:rsidRDefault="00D435D6" w:rsidP="00E976EB">
      <w:pPr>
        <w:jc w:val="both"/>
        <w:rPr>
          <w:rFonts w:ascii="Times New Roman" w:hAnsi="Times New Roman" w:cs="Times New Roman"/>
          <w:sz w:val="24"/>
        </w:rPr>
      </w:pPr>
      <w:r w:rsidRPr="00E976EB">
        <w:rPr>
          <w:rFonts w:ascii="Times New Roman" w:hAnsi="Times New Roman" w:cs="Times New Roman"/>
          <w:sz w:val="24"/>
        </w:rPr>
        <w:t>The Institute has given an opportunity for rural graduate and post-graduate students to explore new ideas and share information with others who share their interests.</w:t>
      </w:r>
    </w:p>
    <w:p w14:paraId="250F260D" w14:textId="4785536C" w:rsidR="00D435D6" w:rsidRPr="00E976EB" w:rsidRDefault="00D435D6" w:rsidP="00E976EB">
      <w:pPr>
        <w:jc w:val="both"/>
        <w:rPr>
          <w:rFonts w:ascii="Times New Roman" w:hAnsi="Times New Roman" w:cs="Times New Roman"/>
          <w:sz w:val="24"/>
        </w:rPr>
      </w:pPr>
      <w:r w:rsidRPr="00E976EB">
        <w:rPr>
          <w:rFonts w:ascii="Times New Roman" w:hAnsi="Times New Roman" w:cs="Times New Roman"/>
          <w:sz w:val="24"/>
        </w:rPr>
        <w:t xml:space="preserve">The Research and Development Cell </w:t>
      </w:r>
      <w:r w:rsidR="00995C3E" w:rsidRPr="00E976EB">
        <w:rPr>
          <w:rFonts w:ascii="Times New Roman" w:hAnsi="Times New Roman" w:cs="Times New Roman"/>
          <w:sz w:val="24"/>
        </w:rPr>
        <w:t>inst</w:t>
      </w:r>
      <w:bookmarkStart w:id="0" w:name="_GoBack"/>
      <w:bookmarkEnd w:id="0"/>
      <w:r w:rsidR="00995C3E" w:rsidRPr="00E976EB">
        <w:rPr>
          <w:rFonts w:ascii="Times New Roman" w:hAnsi="Times New Roman" w:cs="Times New Roman"/>
          <w:sz w:val="24"/>
        </w:rPr>
        <w:t>ills</w:t>
      </w:r>
      <w:r w:rsidRPr="00E976EB">
        <w:rPr>
          <w:rFonts w:ascii="Times New Roman" w:hAnsi="Times New Roman" w:cs="Times New Roman"/>
          <w:sz w:val="24"/>
        </w:rPr>
        <w:t xml:space="preserve"> in students a research culture and promotes continuous excellence in engineering education.</w:t>
      </w:r>
    </w:p>
    <w:p w14:paraId="513395B1" w14:textId="77777777" w:rsidR="00D435D6" w:rsidRPr="00E976EB" w:rsidRDefault="00D435D6" w:rsidP="00E976EB">
      <w:pPr>
        <w:jc w:val="both"/>
        <w:rPr>
          <w:rFonts w:ascii="Times New Roman" w:hAnsi="Times New Roman" w:cs="Times New Roman"/>
          <w:sz w:val="24"/>
        </w:rPr>
      </w:pPr>
      <w:r w:rsidRPr="00E976EB">
        <w:rPr>
          <w:rFonts w:ascii="Times New Roman" w:hAnsi="Times New Roman" w:cs="Times New Roman"/>
          <w:sz w:val="24"/>
        </w:rPr>
        <w:t>The faculty gathers fresh and innovative ideas through direct engagement with students, local problems, seminars, micro projects, projects, and competition topics. These proposals are then processed at the department level, and the most relevant ideas are sent to the Dean of Research and Development, who decides on the quantity of financing for such a project based on the nature of the issue, resource personnel, travel, practical application, and available and necessary instrumentation.</w:t>
      </w:r>
    </w:p>
    <w:p w14:paraId="43028064" w14:textId="77777777" w:rsidR="00D435D6" w:rsidRPr="00E976EB" w:rsidRDefault="00D435D6" w:rsidP="00E976EB">
      <w:pPr>
        <w:jc w:val="both"/>
        <w:rPr>
          <w:rFonts w:ascii="Times New Roman" w:hAnsi="Times New Roman" w:cs="Times New Roman"/>
          <w:sz w:val="24"/>
        </w:rPr>
      </w:pPr>
      <w:r w:rsidRPr="00E976EB">
        <w:rPr>
          <w:rFonts w:ascii="Times New Roman" w:hAnsi="Times New Roman" w:cs="Times New Roman"/>
          <w:sz w:val="24"/>
        </w:rPr>
        <w:t xml:space="preserve">Faculty and students are helped in approaching various funding </w:t>
      </w:r>
      <w:proofErr w:type="spellStart"/>
      <w:r w:rsidRPr="00E976EB">
        <w:rPr>
          <w:rFonts w:ascii="Times New Roman" w:hAnsi="Times New Roman" w:cs="Times New Roman"/>
          <w:sz w:val="24"/>
        </w:rPr>
        <w:t>organisations</w:t>
      </w:r>
      <w:proofErr w:type="spellEnd"/>
      <w:r w:rsidRPr="00E976EB">
        <w:rPr>
          <w:rFonts w:ascii="Times New Roman" w:hAnsi="Times New Roman" w:cs="Times New Roman"/>
          <w:sz w:val="24"/>
        </w:rPr>
        <w:t xml:space="preserve"> and providing appropriate documentation. The necessary instruments are acquired with monies from various sources and the institute's contribution.</w:t>
      </w:r>
    </w:p>
    <w:p w14:paraId="5204550B" w14:textId="77777777" w:rsidR="00D435D6" w:rsidRPr="00E976EB" w:rsidRDefault="00D435D6" w:rsidP="00E976EB">
      <w:pPr>
        <w:jc w:val="both"/>
        <w:rPr>
          <w:rFonts w:ascii="Times New Roman" w:hAnsi="Times New Roman" w:cs="Times New Roman"/>
          <w:sz w:val="24"/>
        </w:rPr>
      </w:pPr>
      <w:r w:rsidRPr="00E976EB">
        <w:rPr>
          <w:rFonts w:ascii="Times New Roman" w:hAnsi="Times New Roman" w:cs="Times New Roman"/>
          <w:sz w:val="24"/>
        </w:rPr>
        <w:t xml:space="preserve">They are permitted to contact resource individuals and make trips to other institutions if needed. The task is then carried out by mentoring those involved in authoring research papers, establishing start-ups, and registering IPR, as well as giving monitory help in accordance with the R&amp;D cell's laws. </w:t>
      </w:r>
      <w:proofErr w:type="gramStart"/>
      <w:r w:rsidRPr="00E976EB">
        <w:rPr>
          <w:rFonts w:ascii="Times New Roman" w:hAnsi="Times New Roman" w:cs="Times New Roman"/>
          <w:sz w:val="24"/>
        </w:rPr>
        <w:t xml:space="preserve">Teams </w:t>
      </w:r>
      <w:r w:rsidR="00E976EB">
        <w:rPr>
          <w:rFonts w:ascii="Times New Roman" w:hAnsi="Times New Roman" w:cs="Times New Roman"/>
          <w:sz w:val="24"/>
        </w:rPr>
        <w:t xml:space="preserve"> </w:t>
      </w:r>
      <w:r w:rsidR="00E976EB" w:rsidRPr="00E976EB">
        <w:rPr>
          <w:rFonts w:ascii="Times New Roman" w:hAnsi="Times New Roman" w:cs="Times New Roman"/>
          <w:sz w:val="24"/>
        </w:rPr>
        <w:t>participating</w:t>
      </w:r>
      <w:proofErr w:type="gramEnd"/>
      <w:r w:rsidR="00E976EB" w:rsidRPr="00E976EB">
        <w:rPr>
          <w:rFonts w:ascii="Times New Roman" w:hAnsi="Times New Roman" w:cs="Times New Roman"/>
          <w:sz w:val="24"/>
        </w:rPr>
        <w:t xml:space="preserve"> in</w:t>
      </w:r>
      <w:r w:rsidRPr="00E976EB">
        <w:rPr>
          <w:rFonts w:ascii="Times New Roman" w:hAnsi="Times New Roman" w:cs="Times New Roman"/>
          <w:sz w:val="24"/>
        </w:rPr>
        <w:t xml:space="preserve"> national and international conferences such as Baja, TIFAN, and </w:t>
      </w:r>
      <w:proofErr w:type="spellStart"/>
      <w:r w:rsidRPr="00E976EB">
        <w:rPr>
          <w:rFonts w:ascii="Times New Roman" w:hAnsi="Times New Roman" w:cs="Times New Roman"/>
          <w:sz w:val="24"/>
        </w:rPr>
        <w:t>Hakathons</w:t>
      </w:r>
      <w:proofErr w:type="spellEnd"/>
      <w:r w:rsidRPr="00E976EB">
        <w:rPr>
          <w:rFonts w:ascii="Times New Roman" w:hAnsi="Times New Roman" w:cs="Times New Roman"/>
          <w:sz w:val="24"/>
        </w:rPr>
        <w:t>. The institution bears all expenditures.</w:t>
      </w:r>
    </w:p>
    <w:p w14:paraId="0B3F633D" w14:textId="77777777" w:rsidR="00D435D6" w:rsidRPr="00E976EB" w:rsidRDefault="00D435D6" w:rsidP="00E976EB">
      <w:pPr>
        <w:jc w:val="both"/>
        <w:rPr>
          <w:rFonts w:ascii="Times New Roman" w:hAnsi="Times New Roman" w:cs="Times New Roman"/>
          <w:sz w:val="24"/>
        </w:rPr>
      </w:pPr>
      <w:r w:rsidRPr="00E976EB">
        <w:rPr>
          <w:rFonts w:ascii="Times New Roman" w:hAnsi="Times New Roman" w:cs="Times New Roman"/>
          <w:sz w:val="24"/>
        </w:rPr>
        <w:t>Faculty members interested in furthering their education are encouraged by providing study leave for their course work. The research scholars are free to use institute resources and library resources as needed for required experiments.</w:t>
      </w:r>
    </w:p>
    <w:p w14:paraId="19CEBF47" w14:textId="77777777" w:rsidR="00D435D6" w:rsidRPr="00E976EB" w:rsidRDefault="00D435D6" w:rsidP="00E976EB">
      <w:pPr>
        <w:jc w:val="both"/>
        <w:rPr>
          <w:rFonts w:ascii="Times New Roman" w:hAnsi="Times New Roman" w:cs="Times New Roman"/>
          <w:sz w:val="24"/>
        </w:rPr>
      </w:pPr>
      <w:r w:rsidRPr="00E976EB">
        <w:rPr>
          <w:rFonts w:ascii="Times New Roman" w:hAnsi="Times New Roman" w:cs="Times New Roman"/>
          <w:sz w:val="24"/>
        </w:rPr>
        <w:t xml:space="preserve">With this well-defined framework, students and faculty members attend seminars and workshops, give papers, compete and exhibit, and register for IPR. This results in the concerned </w:t>
      </w:r>
      <w:proofErr w:type="gramStart"/>
      <w:r w:rsidRPr="00E976EB">
        <w:rPr>
          <w:rFonts w:ascii="Times New Roman" w:hAnsi="Times New Roman" w:cs="Times New Roman"/>
          <w:sz w:val="24"/>
        </w:rPr>
        <w:t>person's</w:t>
      </w:r>
      <w:proofErr w:type="gramEnd"/>
      <w:r w:rsidRPr="00E976EB">
        <w:rPr>
          <w:rFonts w:ascii="Times New Roman" w:hAnsi="Times New Roman" w:cs="Times New Roman"/>
          <w:sz w:val="24"/>
        </w:rPr>
        <w:t xml:space="preserve"> view broadening as a result of exposure to the outside world and study of pressing concerns in such areas. The end result of this process is that fresh and inventive ideas are conveyed to subsequent batches, their counterparts' mindsets change, and juniors are guided. Faculty and students with higher intellectual levels serve as lighthouses, illuminating others, resulting in overall quality improvement, greater career prospects, and overall expansion of the institute.</w:t>
      </w:r>
    </w:p>
    <w:p w14:paraId="2B8CCF66" w14:textId="0A94B646" w:rsidR="00D435D6" w:rsidRDefault="00D435D6"/>
    <w:p w14:paraId="0621537B" w14:textId="478C4410" w:rsidR="001943DE" w:rsidRDefault="001943DE"/>
    <w:p w14:paraId="6B1C045C" w14:textId="2CE02280" w:rsidR="001943DE" w:rsidRDefault="001943DE"/>
    <w:p w14:paraId="2D9863B0" w14:textId="4A3532F3" w:rsidR="001943DE" w:rsidRDefault="001943DE"/>
    <w:tbl>
      <w:tblPr>
        <w:tblStyle w:val="TableGrid2"/>
        <w:tblW w:w="5000" w:type="pct"/>
        <w:tblInd w:w="0" w:type="dxa"/>
        <w:tblLook w:val="04A0" w:firstRow="1" w:lastRow="0" w:firstColumn="1" w:lastColumn="0" w:noHBand="0" w:noVBand="1"/>
      </w:tblPr>
      <w:tblGrid>
        <w:gridCol w:w="1070"/>
        <w:gridCol w:w="5062"/>
        <w:gridCol w:w="3444"/>
      </w:tblGrid>
      <w:tr w:rsidR="001943DE" w14:paraId="06426188" w14:textId="77777777" w:rsidTr="001943DE">
        <w:trPr>
          <w:trHeight w:val="20"/>
          <w:tblHeader/>
        </w:trPr>
        <w:tc>
          <w:tcPr>
            <w:tcW w:w="55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604892" w14:textId="77777777" w:rsidR="001943DE" w:rsidRDefault="001943DE">
            <w:pPr>
              <w:rPr>
                <w:rFonts w:ascii="Times New Roman" w:hAnsi="Times New Roman"/>
                <w:b/>
                <w:sz w:val="24"/>
                <w:szCs w:val="24"/>
                <w:lang w:eastAsia="en-IN"/>
              </w:rPr>
            </w:pPr>
            <w:r>
              <w:rPr>
                <w:rFonts w:ascii="Times New Roman" w:hAnsi="Times New Roman"/>
                <w:b/>
                <w:sz w:val="24"/>
                <w:szCs w:val="24"/>
                <w:lang w:eastAsia="en-IN"/>
              </w:rPr>
              <w:t>Sr. No.</w:t>
            </w:r>
          </w:p>
        </w:tc>
        <w:tc>
          <w:tcPr>
            <w:tcW w:w="264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CCD47E" w14:textId="77777777" w:rsidR="001943DE" w:rsidRDefault="001943DE">
            <w:pPr>
              <w:rPr>
                <w:rFonts w:ascii="Times New Roman" w:hAnsi="Times New Roman"/>
                <w:b/>
                <w:bCs/>
                <w:color w:val="000000"/>
                <w:sz w:val="24"/>
                <w:szCs w:val="24"/>
                <w:lang w:eastAsia="en-IN"/>
              </w:rPr>
            </w:pPr>
            <w:r>
              <w:rPr>
                <w:rFonts w:ascii="Times New Roman" w:hAnsi="Times New Roman"/>
                <w:b/>
                <w:bCs/>
                <w:color w:val="000000"/>
                <w:sz w:val="24"/>
                <w:szCs w:val="24"/>
                <w:lang w:eastAsia="en-IN"/>
              </w:rPr>
              <w:t xml:space="preserve">Description </w:t>
            </w:r>
          </w:p>
        </w:tc>
        <w:tc>
          <w:tcPr>
            <w:tcW w:w="179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00BC3E" w14:textId="77777777" w:rsidR="001943DE" w:rsidRDefault="001943DE">
            <w:pPr>
              <w:rPr>
                <w:rFonts w:ascii="Times New Roman" w:hAnsi="Times New Roman"/>
                <w:b/>
                <w:bCs/>
                <w:color w:val="000000"/>
                <w:sz w:val="24"/>
                <w:szCs w:val="24"/>
                <w:lang w:eastAsia="en-IN"/>
              </w:rPr>
            </w:pPr>
            <w:r>
              <w:rPr>
                <w:rFonts w:ascii="Times New Roman" w:hAnsi="Times New Roman"/>
                <w:b/>
                <w:bCs/>
                <w:color w:val="000000"/>
                <w:sz w:val="24"/>
                <w:szCs w:val="24"/>
                <w:lang w:eastAsia="en-IN"/>
              </w:rPr>
              <w:t>Link to open relevant document</w:t>
            </w:r>
          </w:p>
        </w:tc>
      </w:tr>
      <w:tr w:rsidR="001943DE" w14:paraId="4980E290"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3BA44B10" w14:textId="77777777" w:rsidR="001943DE" w:rsidRDefault="001943DE"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hideMark/>
          </w:tcPr>
          <w:p w14:paraId="28E0888B" w14:textId="002B5216" w:rsidR="001943DE" w:rsidRDefault="009657EC">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 xml:space="preserve">R&amp; D committee meting </w:t>
            </w:r>
          </w:p>
        </w:tc>
        <w:tc>
          <w:tcPr>
            <w:tcW w:w="1798" w:type="pct"/>
            <w:tcBorders>
              <w:top w:val="single" w:sz="4" w:space="0" w:color="auto"/>
              <w:left w:val="single" w:sz="4" w:space="0" w:color="auto"/>
              <w:bottom w:val="single" w:sz="4" w:space="0" w:color="auto"/>
              <w:right w:val="single" w:sz="4" w:space="0" w:color="auto"/>
            </w:tcBorders>
          </w:tcPr>
          <w:p w14:paraId="48E30D45" w14:textId="77777777" w:rsidR="001943DE" w:rsidRDefault="001943DE">
            <w:pPr>
              <w:rPr>
                <w:rFonts w:ascii="Times New Roman" w:hAnsi="Times New Roman"/>
                <w:color w:val="000000"/>
                <w:sz w:val="24"/>
                <w:szCs w:val="24"/>
                <w:lang w:eastAsia="en-IN"/>
              </w:rPr>
            </w:pPr>
          </w:p>
        </w:tc>
      </w:tr>
      <w:tr w:rsidR="009657EC" w14:paraId="0711F7A1"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4BCAE3A4" w14:textId="77777777" w:rsidR="009657EC" w:rsidRDefault="009657EC"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tcPr>
          <w:p w14:paraId="418BF0EE" w14:textId="2D728FA4" w:rsidR="009657EC" w:rsidRDefault="009657EC">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Budget allocation</w:t>
            </w:r>
          </w:p>
        </w:tc>
        <w:tc>
          <w:tcPr>
            <w:tcW w:w="1798" w:type="pct"/>
            <w:tcBorders>
              <w:top w:val="single" w:sz="4" w:space="0" w:color="auto"/>
              <w:left w:val="single" w:sz="4" w:space="0" w:color="auto"/>
              <w:bottom w:val="single" w:sz="4" w:space="0" w:color="auto"/>
              <w:right w:val="single" w:sz="4" w:space="0" w:color="auto"/>
            </w:tcBorders>
          </w:tcPr>
          <w:p w14:paraId="30A6B8F2" w14:textId="77777777" w:rsidR="009657EC" w:rsidRDefault="009657EC">
            <w:pPr>
              <w:rPr>
                <w:rFonts w:ascii="Times New Roman" w:hAnsi="Times New Roman"/>
                <w:color w:val="000000"/>
                <w:sz w:val="24"/>
                <w:szCs w:val="24"/>
                <w:lang w:eastAsia="en-IN"/>
              </w:rPr>
            </w:pPr>
          </w:p>
        </w:tc>
      </w:tr>
      <w:tr w:rsidR="009657EC" w14:paraId="3704C754"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7F6D5BCD" w14:textId="77777777" w:rsidR="009657EC" w:rsidRDefault="009657EC"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tcPr>
          <w:p w14:paraId="2167CB46" w14:textId="51512276" w:rsidR="009657EC" w:rsidRDefault="009657EC">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 xml:space="preserve">Grant given by committee(TA /DA/Registration fee </w:t>
            </w:r>
            <w:proofErr w:type="spellStart"/>
            <w:r>
              <w:rPr>
                <w:rFonts w:ascii="Times New Roman" w:hAnsi="Times New Roman"/>
                <w:color w:val="000000" w:themeColor="text1"/>
                <w:sz w:val="24"/>
                <w:szCs w:val="24"/>
                <w:lang w:eastAsia="en-IN"/>
              </w:rPr>
              <w:t>etc</w:t>
            </w:r>
            <w:proofErr w:type="spellEnd"/>
            <w:r>
              <w:rPr>
                <w:rFonts w:ascii="Times New Roman" w:hAnsi="Times New Roman"/>
                <w:color w:val="000000" w:themeColor="text1"/>
                <w:sz w:val="24"/>
                <w:szCs w:val="24"/>
                <w:lang w:eastAsia="en-IN"/>
              </w:rPr>
              <w:t>)</w:t>
            </w:r>
          </w:p>
        </w:tc>
        <w:tc>
          <w:tcPr>
            <w:tcW w:w="1798" w:type="pct"/>
            <w:tcBorders>
              <w:top w:val="single" w:sz="4" w:space="0" w:color="auto"/>
              <w:left w:val="single" w:sz="4" w:space="0" w:color="auto"/>
              <w:bottom w:val="single" w:sz="4" w:space="0" w:color="auto"/>
              <w:right w:val="single" w:sz="4" w:space="0" w:color="auto"/>
            </w:tcBorders>
          </w:tcPr>
          <w:p w14:paraId="25EE0364" w14:textId="77777777" w:rsidR="009657EC" w:rsidRDefault="009657EC">
            <w:pPr>
              <w:rPr>
                <w:rFonts w:ascii="Times New Roman" w:hAnsi="Times New Roman"/>
                <w:color w:val="000000"/>
                <w:sz w:val="24"/>
                <w:szCs w:val="24"/>
                <w:lang w:eastAsia="en-IN"/>
              </w:rPr>
            </w:pPr>
          </w:p>
        </w:tc>
      </w:tr>
      <w:tr w:rsidR="009657EC" w14:paraId="3B7BC92E"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3B696216" w14:textId="77777777" w:rsidR="009657EC" w:rsidRDefault="009657EC"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tcPr>
          <w:p w14:paraId="54E4C753" w14:textId="6B012E3E" w:rsidR="009657EC" w:rsidRDefault="009657EC">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Grants received from Government or non-governmental agencies for research projects</w:t>
            </w:r>
          </w:p>
        </w:tc>
        <w:tc>
          <w:tcPr>
            <w:tcW w:w="1798" w:type="pct"/>
            <w:tcBorders>
              <w:top w:val="single" w:sz="4" w:space="0" w:color="auto"/>
              <w:left w:val="single" w:sz="4" w:space="0" w:color="auto"/>
              <w:bottom w:val="single" w:sz="4" w:space="0" w:color="auto"/>
              <w:right w:val="single" w:sz="4" w:space="0" w:color="auto"/>
            </w:tcBorders>
          </w:tcPr>
          <w:p w14:paraId="67BF931E" w14:textId="77777777" w:rsidR="009657EC" w:rsidRDefault="009657EC">
            <w:pPr>
              <w:rPr>
                <w:rFonts w:ascii="Times New Roman" w:hAnsi="Times New Roman"/>
                <w:color w:val="000000"/>
                <w:sz w:val="24"/>
                <w:szCs w:val="24"/>
                <w:lang w:eastAsia="en-IN"/>
              </w:rPr>
            </w:pPr>
          </w:p>
        </w:tc>
      </w:tr>
      <w:tr w:rsidR="001943DE" w14:paraId="68200AD0"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708087A0" w14:textId="77777777" w:rsidR="001943DE" w:rsidRDefault="001943DE"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hideMark/>
          </w:tcPr>
          <w:p w14:paraId="0DDFF2C0" w14:textId="2EDD4937" w:rsidR="001943DE" w:rsidRDefault="001943DE">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 xml:space="preserve">Expert talk conducted on Research orientation </w:t>
            </w:r>
          </w:p>
        </w:tc>
        <w:tc>
          <w:tcPr>
            <w:tcW w:w="1798" w:type="pct"/>
            <w:tcBorders>
              <w:top w:val="single" w:sz="4" w:space="0" w:color="auto"/>
              <w:left w:val="single" w:sz="4" w:space="0" w:color="auto"/>
              <w:bottom w:val="single" w:sz="4" w:space="0" w:color="auto"/>
              <w:right w:val="single" w:sz="4" w:space="0" w:color="auto"/>
            </w:tcBorders>
          </w:tcPr>
          <w:p w14:paraId="63705955" w14:textId="77777777" w:rsidR="001943DE" w:rsidRDefault="001943DE">
            <w:pPr>
              <w:rPr>
                <w:rFonts w:ascii="Times New Roman" w:hAnsi="Times New Roman"/>
                <w:color w:val="000000"/>
                <w:sz w:val="24"/>
                <w:szCs w:val="24"/>
                <w:lang w:eastAsia="en-IN"/>
              </w:rPr>
            </w:pPr>
          </w:p>
        </w:tc>
      </w:tr>
      <w:tr w:rsidR="001943DE" w14:paraId="4BF7EA0D"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304BADD9" w14:textId="77777777" w:rsidR="001943DE" w:rsidRDefault="001943DE"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hideMark/>
          </w:tcPr>
          <w:p w14:paraId="625920F7" w14:textId="77777777" w:rsidR="001943DE" w:rsidRDefault="001943DE">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 xml:space="preserve">Research Papers In The Notified Journals </w:t>
            </w:r>
          </w:p>
        </w:tc>
        <w:tc>
          <w:tcPr>
            <w:tcW w:w="1798" w:type="pct"/>
            <w:tcBorders>
              <w:top w:val="single" w:sz="4" w:space="0" w:color="auto"/>
              <w:left w:val="single" w:sz="4" w:space="0" w:color="auto"/>
              <w:bottom w:val="single" w:sz="4" w:space="0" w:color="auto"/>
              <w:right w:val="single" w:sz="4" w:space="0" w:color="auto"/>
            </w:tcBorders>
          </w:tcPr>
          <w:p w14:paraId="10529A58" w14:textId="77777777" w:rsidR="001943DE" w:rsidRDefault="001943DE">
            <w:pPr>
              <w:rPr>
                <w:rFonts w:ascii="Times New Roman" w:hAnsi="Times New Roman"/>
                <w:color w:val="000000"/>
                <w:sz w:val="24"/>
                <w:szCs w:val="24"/>
                <w:lang w:eastAsia="en-IN"/>
              </w:rPr>
            </w:pPr>
          </w:p>
        </w:tc>
      </w:tr>
      <w:tr w:rsidR="001943DE" w14:paraId="1291D4B6"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00DAC487" w14:textId="77777777" w:rsidR="001943DE" w:rsidRDefault="001943DE"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hideMark/>
          </w:tcPr>
          <w:p w14:paraId="63B20D50" w14:textId="30A3F6B7" w:rsidR="001943DE" w:rsidRDefault="001943DE">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Alumni Interaction –</w:t>
            </w:r>
          </w:p>
        </w:tc>
        <w:tc>
          <w:tcPr>
            <w:tcW w:w="1798" w:type="pct"/>
            <w:tcBorders>
              <w:top w:val="single" w:sz="4" w:space="0" w:color="auto"/>
              <w:left w:val="single" w:sz="4" w:space="0" w:color="auto"/>
              <w:bottom w:val="single" w:sz="4" w:space="0" w:color="auto"/>
              <w:right w:val="single" w:sz="4" w:space="0" w:color="auto"/>
            </w:tcBorders>
          </w:tcPr>
          <w:p w14:paraId="40B59E97" w14:textId="77777777" w:rsidR="001943DE" w:rsidRDefault="001943DE">
            <w:pPr>
              <w:rPr>
                <w:rFonts w:ascii="Times New Roman" w:hAnsi="Times New Roman"/>
                <w:color w:val="000000"/>
                <w:sz w:val="24"/>
                <w:szCs w:val="24"/>
                <w:lang w:eastAsia="en-IN"/>
              </w:rPr>
            </w:pPr>
          </w:p>
        </w:tc>
      </w:tr>
      <w:tr w:rsidR="001943DE" w14:paraId="7590A2D9"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7F99F306" w14:textId="77777777" w:rsidR="001943DE" w:rsidRDefault="001943DE"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hideMark/>
          </w:tcPr>
          <w:p w14:paraId="500D3420" w14:textId="1D3C88E6" w:rsidR="001943DE" w:rsidRDefault="001943DE">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 xml:space="preserve">Start-Up Entrepreneurs </w:t>
            </w:r>
            <w:r w:rsidR="009657EC">
              <w:rPr>
                <w:rFonts w:ascii="Times New Roman" w:hAnsi="Times New Roman"/>
                <w:color w:val="000000" w:themeColor="text1"/>
                <w:sz w:val="24"/>
                <w:szCs w:val="24"/>
                <w:lang w:eastAsia="en-IN"/>
              </w:rPr>
              <w:t>–</w:t>
            </w:r>
            <w:r>
              <w:rPr>
                <w:rFonts w:ascii="Times New Roman" w:hAnsi="Times New Roman"/>
                <w:color w:val="000000" w:themeColor="text1"/>
                <w:sz w:val="24"/>
                <w:szCs w:val="24"/>
                <w:lang w:eastAsia="en-IN"/>
              </w:rPr>
              <w:t xml:space="preserve"> </w:t>
            </w:r>
          </w:p>
        </w:tc>
        <w:tc>
          <w:tcPr>
            <w:tcW w:w="1798" w:type="pct"/>
            <w:tcBorders>
              <w:top w:val="single" w:sz="4" w:space="0" w:color="auto"/>
              <w:left w:val="single" w:sz="4" w:space="0" w:color="auto"/>
              <w:bottom w:val="single" w:sz="4" w:space="0" w:color="auto"/>
              <w:right w:val="single" w:sz="4" w:space="0" w:color="auto"/>
            </w:tcBorders>
          </w:tcPr>
          <w:p w14:paraId="25958EB6" w14:textId="77777777" w:rsidR="001943DE" w:rsidRDefault="001943DE">
            <w:pPr>
              <w:rPr>
                <w:rFonts w:ascii="Times New Roman" w:hAnsi="Times New Roman"/>
                <w:color w:val="000000"/>
                <w:sz w:val="24"/>
                <w:szCs w:val="24"/>
                <w:lang w:eastAsia="en-IN"/>
              </w:rPr>
            </w:pPr>
          </w:p>
        </w:tc>
      </w:tr>
      <w:tr w:rsidR="001943DE" w14:paraId="59DE5183"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48C44AA7" w14:textId="77777777" w:rsidR="001943DE" w:rsidRDefault="001943DE"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hideMark/>
          </w:tcPr>
          <w:p w14:paraId="2D70D132" w14:textId="1115562B" w:rsidR="001943DE" w:rsidRDefault="001943DE">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Conducted Technical Training Session</w:t>
            </w:r>
            <w:r w:rsidR="009657EC">
              <w:rPr>
                <w:rFonts w:ascii="Times New Roman" w:hAnsi="Times New Roman"/>
                <w:color w:val="000000" w:themeColor="text1"/>
                <w:sz w:val="24"/>
                <w:szCs w:val="24"/>
                <w:lang w:eastAsia="en-IN"/>
              </w:rPr>
              <w:t>(FDP/STTP)</w:t>
            </w:r>
          </w:p>
        </w:tc>
        <w:tc>
          <w:tcPr>
            <w:tcW w:w="1798" w:type="pct"/>
            <w:tcBorders>
              <w:top w:val="single" w:sz="4" w:space="0" w:color="auto"/>
              <w:left w:val="single" w:sz="4" w:space="0" w:color="auto"/>
              <w:bottom w:val="single" w:sz="4" w:space="0" w:color="auto"/>
              <w:right w:val="single" w:sz="4" w:space="0" w:color="auto"/>
            </w:tcBorders>
          </w:tcPr>
          <w:p w14:paraId="5C162D8D" w14:textId="77777777" w:rsidR="001943DE" w:rsidRDefault="001943DE">
            <w:pPr>
              <w:rPr>
                <w:rFonts w:ascii="Times New Roman" w:hAnsi="Times New Roman"/>
                <w:color w:val="000000"/>
                <w:sz w:val="24"/>
                <w:szCs w:val="24"/>
                <w:lang w:eastAsia="en-IN"/>
              </w:rPr>
            </w:pPr>
          </w:p>
        </w:tc>
      </w:tr>
      <w:tr w:rsidR="001943DE" w14:paraId="1B4CC55E"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40E9FFE2" w14:textId="77777777" w:rsidR="001943DE" w:rsidRDefault="001943DE"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hideMark/>
          </w:tcPr>
          <w:p w14:paraId="4B115E6B" w14:textId="77777777" w:rsidR="001943DE" w:rsidRDefault="001943DE">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Develop The Research Culture among Students</w:t>
            </w:r>
          </w:p>
          <w:p w14:paraId="6C0A4D27" w14:textId="745FFC0B" w:rsidR="009657EC" w:rsidRDefault="009657EC">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 xml:space="preserve">(TA /DA/Registration fee </w:t>
            </w:r>
            <w:proofErr w:type="spellStart"/>
            <w:r>
              <w:rPr>
                <w:rFonts w:ascii="Times New Roman" w:hAnsi="Times New Roman"/>
                <w:color w:val="000000" w:themeColor="text1"/>
                <w:sz w:val="24"/>
                <w:szCs w:val="24"/>
                <w:lang w:eastAsia="en-IN"/>
              </w:rPr>
              <w:t>etc</w:t>
            </w:r>
            <w:proofErr w:type="spellEnd"/>
            <w:r>
              <w:rPr>
                <w:rFonts w:ascii="Times New Roman" w:hAnsi="Times New Roman"/>
                <w:color w:val="000000" w:themeColor="text1"/>
                <w:sz w:val="24"/>
                <w:szCs w:val="24"/>
                <w:lang w:eastAsia="en-IN"/>
              </w:rPr>
              <w:t>)</w:t>
            </w:r>
          </w:p>
        </w:tc>
        <w:tc>
          <w:tcPr>
            <w:tcW w:w="1798" w:type="pct"/>
            <w:tcBorders>
              <w:top w:val="single" w:sz="4" w:space="0" w:color="auto"/>
              <w:left w:val="single" w:sz="4" w:space="0" w:color="auto"/>
              <w:bottom w:val="single" w:sz="4" w:space="0" w:color="auto"/>
              <w:right w:val="single" w:sz="4" w:space="0" w:color="auto"/>
            </w:tcBorders>
          </w:tcPr>
          <w:p w14:paraId="623EB904" w14:textId="77777777" w:rsidR="001943DE" w:rsidRDefault="001943DE">
            <w:pPr>
              <w:rPr>
                <w:rFonts w:ascii="Times New Roman" w:hAnsi="Times New Roman"/>
                <w:color w:val="000000"/>
                <w:sz w:val="24"/>
                <w:szCs w:val="24"/>
                <w:lang w:eastAsia="en-IN"/>
              </w:rPr>
            </w:pPr>
          </w:p>
        </w:tc>
      </w:tr>
      <w:tr w:rsidR="001943DE" w14:paraId="04492BF9" w14:textId="77777777" w:rsidTr="001943DE">
        <w:trPr>
          <w:trHeight w:val="510"/>
        </w:trPr>
        <w:tc>
          <w:tcPr>
            <w:tcW w:w="559" w:type="pct"/>
            <w:tcBorders>
              <w:top w:val="single" w:sz="4" w:space="0" w:color="auto"/>
              <w:left w:val="single" w:sz="4" w:space="0" w:color="auto"/>
              <w:bottom w:val="single" w:sz="4" w:space="0" w:color="auto"/>
              <w:right w:val="single" w:sz="4" w:space="0" w:color="auto"/>
            </w:tcBorders>
          </w:tcPr>
          <w:p w14:paraId="6B3C64BD" w14:textId="77777777" w:rsidR="001943DE" w:rsidRDefault="001943DE" w:rsidP="000D3EFC">
            <w:pPr>
              <w:numPr>
                <w:ilvl w:val="0"/>
                <w:numId w:val="1"/>
              </w:numPr>
              <w:rPr>
                <w:rFonts w:ascii="Times New Roman" w:hAnsi="Times New Roman"/>
                <w:color w:val="000000" w:themeColor="text1"/>
                <w:sz w:val="24"/>
                <w:szCs w:val="24"/>
                <w:lang w:eastAsia="en-IN"/>
              </w:rPr>
            </w:pPr>
          </w:p>
        </w:tc>
        <w:tc>
          <w:tcPr>
            <w:tcW w:w="2643" w:type="pct"/>
            <w:tcBorders>
              <w:top w:val="single" w:sz="4" w:space="0" w:color="auto"/>
              <w:left w:val="single" w:sz="4" w:space="0" w:color="auto"/>
              <w:bottom w:val="single" w:sz="4" w:space="0" w:color="auto"/>
              <w:right w:val="single" w:sz="4" w:space="0" w:color="auto"/>
            </w:tcBorders>
            <w:hideMark/>
          </w:tcPr>
          <w:p w14:paraId="06F18C57" w14:textId="18B4D248" w:rsidR="001943DE" w:rsidRDefault="001943DE">
            <w:pPr>
              <w:rPr>
                <w:rFonts w:ascii="Times New Roman" w:hAnsi="Times New Roman"/>
                <w:color w:val="000000" w:themeColor="text1"/>
                <w:sz w:val="24"/>
                <w:szCs w:val="24"/>
                <w:lang w:eastAsia="en-IN"/>
              </w:rPr>
            </w:pPr>
            <w:r>
              <w:rPr>
                <w:rFonts w:ascii="Times New Roman" w:hAnsi="Times New Roman"/>
                <w:color w:val="000000" w:themeColor="text1"/>
                <w:sz w:val="24"/>
                <w:szCs w:val="24"/>
                <w:lang w:eastAsia="en-IN"/>
              </w:rPr>
              <w:t xml:space="preserve"> Signing </w:t>
            </w:r>
            <w:proofErr w:type="spellStart"/>
            <w:r>
              <w:rPr>
                <w:rFonts w:ascii="Times New Roman" w:hAnsi="Times New Roman"/>
                <w:color w:val="000000" w:themeColor="text1"/>
                <w:sz w:val="24"/>
                <w:szCs w:val="24"/>
                <w:lang w:eastAsia="en-IN"/>
              </w:rPr>
              <w:t>Mous</w:t>
            </w:r>
            <w:proofErr w:type="spellEnd"/>
            <w:r>
              <w:rPr>
                <w:rFonts w:ascii="Times New Roman" w:hAnsi="Times New Roman"/>
                <w:color w:val="000000" w:themeColor="text1"/>
                <w:sz w:val="24"/>
                <w:szCs w:val="24"/>
                <w:lang w:eastAsia="en-IN"/>
              </w:rPr>
              <w:t xml:space="preserve"> </w:t>
            </w:r>
            <w:r w:rsidR="009657EC">
              <w:rPr>
                <w:rFonts w:ascii="Times New Roman" w:hAnsi="Times New Roman"/>
                <w:color w:val="000000" w:themeColor="text1"/>
                <w:sz w:val="24"/>
                <w:szCs w:val="24"/>
                <w:lang w:eastAsia="en-IN"/>
              </w:rPr>
              <w:t>w</w:t>
            </w:r>
            <w:r>
              <w:rPr>
                <w:rFonts w:ascii="Times New Roman" w:hAnsi="Times New Roman"/>
                <w:color w:val="000000" w:themeColor="text1"/>
                <w:sz w:val="24"/>
                <w:szCs w:val="24"/>
                <w:lang w:eastAsia="en-IN"/>
              </w:rPr>
              <w:t>ith Industry</w:t>
            </w:r>
          </w:p>
        </w:tc>
        <w:tc>
          <w:tcPr>
            <w:tcW w:w="1798" w:type="pct"/>
            <w:tcBorders>
              <w:top w:val="single" w:sz="4" w:space="0" w:color="auto"/>
              <w:left w:val="single" w:sz="4" w:space="0" w:color="auto"/>
              <w:bottom w:val="single" w:sz="4" w:space="0" w:color="auto"/>
              <w:right w:val="single" w:sz="4" w:space="0" w:color="auto"/>
            </w:tcBorders>
          </w:tcPr>
          <w:p w14:paraId="7BA1ABCF" w14:textId="77777777" w:rsidR="001943DE" w:rsidRDefault="001943DE">
            <w:pPr>
              <w:rPr>
                <w:rFonts w:ascii="Times New Roman" w:hAnsi="Times New Roman"/>
                <w:color w:val="000000"/>
                <w:sz w:val="24"/>
                <w:szCs w:val="24"/>
                <w:lang w:eastAsia="en-IN"/>
              </w:rPr>
            </w:pPr>
          </w:p>
        </w:tc>
      </w:tr>
    </w:tbl>
    <w:p w14:paraId="75F07036" w14:textId="77777777" w:rsidR="001943DE" w:rsidRDefault="001943DE"/>
    <w:sectPr w:rsidR="001943DE" w:rsidSect="00E976E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51699"/>
    <w:multiLevelType w:val="hybridMultilevel"/>
    <w:tmpl w:val="ACAE2DC0"/>
    <w:lvl w:ilvl="0" w:tplc="1C5405F0">
      <w:start w:val="1"/>
      <w:numFmt w:val="decimal"/>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21"/>
    <w:rsid w:val="001943DE"/>
    <w:rsid w:val="003C4C03"/>
    <w:rsid w:val="00766AFA"/>
    <w:rsid w:val="009657EC"/>
    <w:rsid w:val="00995C3E"/>
    <w:rsid w:val="00D435D6"/>
    <w:rsid w:val="00D80D21"/>
    <w:rsid w:val="00E62E56"/>
    <w:rsid w:val="00E9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59"/>
    <w:rsid w:val="00194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59"/>
    <w:rsid w:val="00194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Harne</dc:creator>
  <cp:lastModifiedBy>91985</cp:lastModifiedBy>
  <cp:revision>5</cp:revision>
  <dcterms:created xsi:type="dcterms:W3CDTF">2023-02-11T05:40:00Z</dcterms:created>
  <dcterms:modified xsi:type="dcterms:W3CDTF">2023-02-16T06:41:00Z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ce9d38485836e07896147f1f2a4b59927e686d39060701b240771305212c0521</vt:lpwstr>
  </property>
</Properties>
</file>