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C36D" w14:textId="77777777" w:rsidR="00E81DC7" w:rsidRPr="00E81DC7" w:rsidRDefault="00AD52AD" w:rsidP="00E81DC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</w:t>
      </w:r>
      <w:r w:rsidR="00595E17"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.1.</w:t>
      </w:r>
      <w:r w:rsidR="00E81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707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B96F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E81DC7" w:rsidRPr="00E81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Average percentage of students benefitted by scholarships, </w:t>
      </w:r>
      <w:proofErr w:type="spellStart"/>
      <w:r w:rsidR="00E81DC7" w:rsidRPr="00E81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freeships</w:t>
      </w:r>
      <w:proofErr w:type="spellEnd"/>
      <w:r w:rsidR="00E81DC7" w:rsidRPr="00E81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etc. provided by the institution / non- government agencies during the last five years</w:t>
      </w:r>
    </w:p>
    <w:p w14:paraId="646A2AA0" w14:textId="77777777" w:rsidR="00E81DC7" w:rsidRPr="00E81DC7" w:rsidRDefault="00E81DC7" w:rsidP="00E81DC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p w14:paraId="57F22A0B" w14:textId="77777777" w:rsidR="00595E17" w:rsidRPr="00BB45B0" w:rsidRDefault="00E81DC7" w:rsidP="00E81DC7">
      <w:pPr>
        <w:spacing w:after="360"/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5.1.2.1 Total number of students benefited by scholarships, </w:t>
      </w:r>
      <w:proofErr w:type="spellStart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freeships</w:t>
      </w:r>
      <w:proofErr w:type="spellEnd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, </w:t>
      </w:r>
      <w:proofErr w:type="spellStart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etc</w:t>
      </w:r>
      <w:proofErr w:type="spellEnd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provided by the institution / non- government agencies year wise during last five years</w:t>
      </w:r>
    </w:p>
    <w:p w14:paraId="0043D3BF" w14:textId="77777777" w:rsidR="009C6A2C" w:rsidRDefault="009C6A2C" w:rsidP="003C4607">
      <w:pPr>
        <w:spacing w:before="8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9C6A2C" w:rsidRPr="00A80809" w14:paraId="02B3A0C6" w14:textId="77777777" w:rsidTr="00C33397">
        <w:trPr>
          <w:trHeight w:val="454"/>
        </w:trPr>
        <w:tc>
          <w:tcPr>
            <w:tcW w:w="959" w:type="dxa"/>
          </w:tcPr>
          <w:p w14:paraId="451F0181" w14:textId="77777777" w:rsidR="009C6A2C" w:rsidRPr="00A80809" w:rsidRDefault="009C6A2C" w:rsidP="00C3339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518997C4" w14:textId="77777777" w:rsidR="009C6A2C" w:rsidRPr="00A80809" w:rsidRDefault="009C6A2C" w:rsidP="00C33397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269023A1" w14:textId="77777777" w:rsidR="009C6A2C" w:rsidRPr="00A80809" w:rsidRDefault="009C6A2C" w:rsidP="00C33397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9C6A2C" w:rsidRPr="00A80809" w14:paraId="20796C07" w14:textId="77777777" w:rsidTr="00C33397">
        <w:trPr>
          <w:trHeight w:val="454"/>
        </w:trPr>
        <w:tc>
          <w:tcPr>
            <w:tcW w:w="959" w:type="dxa"/>
          </w:tcPr>
          <w:p w14:paraId="402B71C5" w14:textId="77777777" w:rsidR="009C6A2C" w:rsidRPr="00A80809" w:rsidRDefault="009C6A2C" w:rsidP="00C33397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DB861FE" w14:textId="77777777" w:rsidR="009C6A2C" w:rsidRPr="00A80809" w:rsidRDefault="009C6A2C" w:rsidP="00C3339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21DA">
              <w:rPr>
                <w:rFonts w:ascii="Times New Roman" w:eastAsia="Times New Roman" w:hAnsi="Times New Roman"/>
                <w:sz w:val="24"/>
                <w:szCs w:val="24"/>
              </w:rPr>
              <w:t>Link for the supporting documents</w:t>
            </w:r>
          </w:p>
        </w:tc>
        <w:tc>
          <w:tcPr>
            <w:tcW w:w="1054" w:type="dxa"/>
          </w:tcPr>
          <w:p w14:paraId="05942C70" w14:textId="77777777" w:rsidR="009C6A2C" w:rsidRPr="00A80809" w:rsidRDefault="009C6A2C" w:rsidP="00C3339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C6A2C" w:rsidRPr="00A80809" w14:paraId="5B52E514" w14:textId="77777777" w:rsidTr="00C33397">
        <w:trPr>
          <w:trHeight w:val="454"/>
        </w:trPr>
        <w:tc>
          <w:tcPr>
            <w:tcW w:w="959" w:type="dxa"/>
          </w:tcPr>
          <w:p w14:paraId="6D3209E1" w14:textId="77777777" w:rsidR="009C6A2C" w:rsidRPr="00A80809" w:rsidRDefault="009C6A2C" w:rsidP="00C33397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3B1E590" w14:textId="77777777" w:rsidR="009C6A2C" w:rsidRPr="00A80809" w:rsidRDefault="003C4607" w:rsidP="00C33397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4607">
              <w:rPr>
                <w:rFonts w:ascii="Times New Roman" w:eastAsia="Times New Roman" w:hAnsi="Times New Roman"/>
                <w:sz w:val="24"/>
                <w:szCs w:val="24"/>
              </w:rPr>
              <w:t>The institution / non- government scholarships</w:t>
            </w:r>
          </w:p>
        </w:tc>
        <w:tc>
          <w:tcPr>
            <w:tcW w:w="1054" w:type="dxa"/>
          </w:tcPr>
          <w:p w14:paraId="4AC0A3A6" w14:textId="77777777" w:rsidR="009C6A2C" w:rsidRPr="00A80809" w:rsidRDefault="009C6A2C" w:rsidP="00C33397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16124C53" w14:textId="77777777" w:rsidR="009C6A2C" w:rsidRDefault="009C6A2C" w:rsidP="00E81D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14:paraId="5706CBFD" w14:textId="77777777" w:rsidR="00E81DC7" w:rsidRPr="00E81DC7" w:rsidRDefault="00E81DC7" w:rsidP="003C460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Amrutvahini college of Engineering is permanently affiliated with Savitribai Phule Pune University. Apart from the government scholarship, to encourage the students in academic college has started the scholarship named </w:t>
      </w:r>
      <w:proofErr w:type="spellStart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Sahakar</w:t>
      </w:r>
      <w:proofErr w:type="spellEnd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Maharshi </w:t>
      </w:r>
      <w:proofErr w:type="spellStart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Bhausaheb</w:t>
      </w:r>
      <w:proofErr w:type="spellEnd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Santuji</w:t>
      </w:r>
      <w:proofErr w:type="spellEnd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Thorat</w:t>
      </w:r>
      <w:proofErr w:type="spellEnd"/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(SMBT)/Amrut Meritorious Scholarship</w:t>
      </w:r>
      <w:r w:rsidR="003C460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(AMS)</w:t>
      </w:r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for the students who excel in academics.</w:t>
      </w:r>
    </w:p>
    <w:p w14:paraId="3ACC9FD2" w14:textId="77777777" w:rsidR="00E81DC7" w:rsidRPr="00E81DC7" w:rsidRDefault="00E81DC7" w:rsidP="003C4607">
      <w:pPr>
        <w:numPr>
          <w:ilvl w:val="0"/>
          <w:numId w:val="1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SMBT/Amrut Meritorious Scholarship. - Students who scores the SGPA of 9.5 and above in </w:t>
      </w:r>
      <w:r w:rsidR="003C4607"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an</w:t>
      </w:r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End-Semester examination conducted by the University are eligible to receive the SMBT Scholarship.</w:t>
      </w:r>
    </w:p>
    <w:p w14:paraId="571C1F3E" w14:textId="77777777" w:rsidR="00E81DC7" w:rsidRPr="00E81DC7" w:rsidRDefault="00E81DC7" w:rsidP="003C4607">
      <w:pPr>
        <w:numPr>
          <w:ilvl w:val="0"/>
          <w:numId w:val="11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bidi="hi-IN"/>
        </w:rPr>
      </w:pPr>
      <w:r w:rsidRPr="00E81DC7">
        <w:rPr>
          <w:rFonts w:ascii="Times New Roman" w:eastAsia="Times New Roman" w:hAnsi="Times New Roman" w:cs="Times New Roman"/>
          <w:sz w:val="24"/>
          <w:szCs w:val="24"/>
          <w:lang w:bidi="hi-IN"/>
        </w:rPr>
        <w:t>Cummins India Foundation’s “Cummins Scholarship Program”, Scholarships from NGO’s /Other Institutes/Private entities-eligible students should apply online -</w:t>
      </w:r>
    </w:p>
    <w:p w14:paraId="6CE77333" w14:textId="77777777" w:rsidR="009C6A2C" w:rsidRPr="006E6214" w:rsidRDefault="009C6A2C" w:rsidP="00135A47">
      <w:pPr>
        <w:pStyle w:val="ListParagraph"/>
        <w:numPr>
          <w:ilvl w:val="0"/>
          <w:numId w:val="13"/>
        </w:numPr>
        <w:spacing w:before="240" w:after="120"/>
        <w:ind w:left="425" w:hanging="425"/>
        <w:contextualSpacing w:val="0"/>
        <w:jc w:val="both"/>
        <w:rPr>
          <w:rFonts w:ascii="Times New Roman" w:eastAsia="Times New Roman" w:hAnsi="Times New Roman"/>
          <w:b/>
          <w:sz w:val="32"/>
          <w:szCs w:val="32"/>
          <w:lang w:bidi="hi-IN"/>
        </w:rPr>
      </w:pPr>
      <w:r w:rsidRPr="006E6214">
        <w:rPr>
          <w:rFonts w:ascii="Times New Roman" w:eastAsia="Times New Roman" w:hAnsi="Times New Roman"/>
          <w:b/>
          <w:sz w:val="32"/>
          <w:szCs w:val="32"/>
          <w:lang w:bidi="hi-IN"/>
        </w:rPr>
        <w:t>Link for the supporting documents</w:t>
      </w:r>
    </w:p>
    <w:p w14:paraId="063B5807" w14:textId="77777777" w:rsidR="009C6A2C" w:rsidRPr="004821DA" w:rsidRDefault="009C6A2C" w:rsidP="009C6A2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821DA">
        <w:rPr>
          <w:rFonts w:ascii="Times New Roman" w:eastAsia="Times New Roman" w:hAnsi="Times New Roman" w:cs="Times New Roman"/>
          <w:sz w:val="24"/>
          <w:szCs w:val="24"/>
          <w:lang w:bidi="hi-IN"/>
        </w:rPr>
        <w:t>Use a link given in Table below for self-attested letter with the list of students sanctioned scholarship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for the last five year. </w:t>
      </w:r>
      <w:r w:rsidR="00135A4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Link has a folder that contain .pdf file as supporting documents.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9C6A2C" w:rsidRPr="00707333" w14:paraId="2CD23D52" w14:textId="77777777" w:rsidTr="00C33397">
        <w:trPr>
          <w:trHeight w:val="397"/>
        </w:trPr>
        <w:tc>
          <w:tcPr>
            <w:tcW w:w="559" w:type="pct"/>
          </w:tcPr>
          <w:p w14:paraId="2DACB89F" w14:textId="77777777" w:rsidR="009C6A2C" w:rsidRPr="00707333" w:rsidRDefault="009C6A2C" w:rsidP="00C33397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56336874" w14:textId="77777777" w:rsidR="009C6A2C" w:rsidRPr="00707333" w:rsidRDefault="009C6A2C" w:rsidP="00C33397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0D3B08EE" w14:textId="77777777" w:rsidR="009C6A2C" w:rsidRPr="00707333" w:rsidRDefault="009C6A2C" w:rsidP="00C33397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9C6A2C" w:rsidRPr="00707333" w14:paraId="3A92E5F4" w14:textId="77777777" w:rsidTr="00C33397">
        <w:trPr>
          <w:trHeight w:val="397"/>
        </w:trPr>
        <w:tc>
          <w:tcPr>
            <w:tcW w:w="559" w:type="pct"/>
          </w:tcPr>
          <w:p w14:paraId="188748BC" w14:textId="77777777" w:rsidR="009C6A2C" w:rsidRPr="00707333" w:rsidRDefault="009C6A2C" w:rsidP="009C6A2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18FE14E3" w14:textId="77777777" w:rsidR="009C6A2C" w:rsidRPr="00707333" w:rsidRDefault="009C6A2C" w:rsidP="009C6A2C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21DA"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 xml:space="preserve">List of students benefited by scholarships and </w:t>
            </w:r>
            <w:proofErr w:type="spellStart"/>
            <w:r w:rsidRPr="004821DA"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>freeships</w:t>
            </w:r>
            <w:proofErr w:type="spellEnd"/>
            <w:r w:rsidRPr="004821DA"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 xml:space="preserve"> provided by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>th</w:t>
            </w:r>
            <w:r w:rsidRPr="009C6A2C"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>e institution 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 xml:space="preserve"> non- government agencies</w:t>
            </w:r>
            <w:r w:rsidRPr="004821DA">
              <w:rPr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 xml:space="preserve"> during last five years</w:t>
            </w:r>
          </w:p>
        </w:tc>
        <w:tc>
          <w:tcPr>
            <w:tcW w:w="2411" w:type="pct"/>
          </w:tcPr>
          <w:p w14:paraId="0DE23834" w14:textId="77777777" w:rsidR="00135A47" w:rsidRPr="00707333" w:rsidRDefault="00135A47" w:rsidP="00A145B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8C8AEC" w14:textId="77777777" w:rsidR="009C6A2C" w:rsidRDefault="009C6A2C" w:rsidP="003C4607">
      <w:pPr>
        <w:pStyle w:val="ListParagraph"/>
        <w:numPr>
          <w:ilvl w:val="0"/>
          <w:numId w:val="13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/>
          <w:b/>
          <w:sz w:val="32"/>
          <w:szCs w:val="32"/>
          <w:lang w:bidi="hi-IN"/>
        </w:rPr>
      </w:pPr>
      <w:r w:rsidRPr="003C4607">
        <w:rPr>
          <w:rFonts w:ascii="Times New Roman" w:eastAsia="Times New Roman" w:hAnsi="Times New Roman"/>
          <w:b/>
          <w:sz w:val="32"/>
          <w:szCs w:val="32"/>
          <w:lang w:bidi="hi-IN"/>
        </w:rPr>
        <w:lastRenderedPageBreak/>
        <w:t>The institution / non- government scholarships</w:t>
      </w:r>
    </w:p>
    <w:p w14:paraId="1ABA4BF0" w14:textId="77777777" w:rsidR="00DF048A" w:rsidRDefault="00DF048A" w:rsidP="00DF048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Table and bar chart below summarize the information about number of students benefited and a</w:t>
      </w:r>
      <w:r w:rsidRPr="004821DA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verage percentage of students benefited by scholarships and </w:t>
      </w:r>
      <w:proofErr w:type="spellStart"/>
      <w:r w:rsidRPr="004821DA">
        <w:rPr>
          <w:rFonts w:ascii="Times New Roman" w:eastAsia="Times New Roman" w:hAnsi="Times New Roman" w:cs="Times New Roman"/>
          <w:sz w:val="24"/>
          <w:szCs w:val="24"/>
          <w:lang w:bidi="hi-IN"/>
        </w:rPr>
        <w:t>freeships</w:t>
      </w:r>
      <w:proofErr w:type="spellEnd"/>
      <w:r w:rsidRPr="004821DA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provided by </w:t>
      </w:r>
      <w:r w:rsidRPr="00DF048A">
        <w:rPr>
          <w:rFonts w:ascii="Times New Roman" w:eastAsia="Times New Roman" w:hAnsi="Times New Roman" w:cs="Times New Roman"/>
          <w:sz w:val="24"/>
          <w:szCs w:val="24"/>
          <w:lang w:bidi="hi-IN"/>
        </w:rPr>
        <w:t>the institution / non- government agencies during the last five years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23"/>
        <w:gridCol w:w="1420"/>
      </w:tblGrid>
      <w:tr w:rsidR="00DF048A" w:rsidRPr="00DF048A" w14:paraId="33E42031" w14:textId="77777777" w:rsidTr="00DF048A">
        <w:trPr>
          <w:trHeight w:val="7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00059C" w14:textId="7100CA81" w:rsidR="00DF048A" w:rsidRPr="00DF048A" w:rsidRDefault="00A145BD" w:rsidP="00DF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-IN" w:eastAsia="en-IN"/>
              </w:rPr>
            </w:pPr>
            <w:r w:rsidRPr="00A1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-IN" w:eastAsia="en-IN"/>
              </w:rPr>
              <w:t xml:space="preserve">Number of students benefitted by scholarships, </w:t>
            </w:r>
            <w:proofErr w:type="spellStart"/>
            <w:r w:rsidRPr="00A1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-IN" w:eastAsia="en-IN"/>
              </w:rPr>
              <w:t>freeships</w:t>
            </w:r>
            <w:proofErr w:type="spellEnd"/>
            <w:r w:rsidRPr="00A145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-IN" w:eastAsia="en-IN"/>
              </w:rPr>
              <w:t xml:space="preserve"> etc. provided by the institution / non- government bodies, industries, individuals, philanthropists during the year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en-IN" w:eastAsia="en-IN"/>
              </w:rPr>
              <w:t xml:space="preserve"> 2020-21</w:t>
            </w:r>
          </w:p>
        </w:tc>
      </w:tr>
      <w:tr w:rsidR="00A145BD" w:rsidRPr="00DF048A" w14:paraId="24DB44E2" w14:textId="77777777" w:rsidTr="00A145BD">
        <w:trPr>
          <w:trHeight w:val="397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578F" w14:textId="77777777" w:rsidR="00A145BD" w:rsidRPr="00DF048A" w:rsidRDefault="00A145BD" w:rsidP="00DF048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DF048A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Cummins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DEE4" w14:textId="783250DF" w:rsidR="00A145BD" w:rsidRPr="00DF048A" w:rsidRDefault="00A145BD" w:rsidP="00DF048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4</w:t>
            </w:r>
          </w:p>
        </w:tc>
      </w:tr>
      <w:tr w:rsidR="00A145BD" w:rsidRPr="00DF048A" w14:paraId="7660E811" w14:textId="77777777" w:rsidTr="00A145BD">
        <w:trPr>
          <w:trHeight w:val="397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2457" w14:textId="77777777" w:rsidR="00A145BD" w:rsidRPr="00DF048A" w:rsidRDefault="00A145BD" w:rsidP="00DF048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DF048A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Total No. of student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D952" w14:textId="77777777" w:rsidR="00A145BD" w:rsidRPr="00DF048A" w:rsidRDefault="00A145BD" w:rsidP="00DF048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DF048A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3776</w:t>
            </w:r>
          </w:p>
        </w:tc>
      </w:tr>
      <w:tr w:rsidR="00A145BD" w:rsidRPr="00DF048A" w14:paraId="15AE5898" w14:textId="77777777" w:rsidTr="00A145BD">
        <w:trPr>
          <w:trHeight w:val="397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B3BD12" w14:textId="77777777" w:rsidR="00A145BD" w:rsidRPr="00DF048A" w:rsidRDefault="00A145BD" w:rsidP="00DF048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F048A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Percentage per year 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696721" w14:textId="3F0956D1" w:rsidR="00A145BD" w:rsidRPr="00DF048A" w:rsidRDefault="00A145BD" w:rsidP="00DF048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0.12</w:t>
            </w:r>
          </w:p>
        </w:tc>
      </w:tr>
    </w:tbl>
    <w:p w14:paraId="5C897132" w14:textId="60F7DA30" w:rsidR="00DF048A" w:rsidRDefault="00DF048A" w:rsidP="00DF048A">
      <w:pPr>
        <w:spacing w:before="360" w:after="120"/>
        <w:jc w:val="center"/>
        <w:rPr>
          <w:rFonts w:ascii="Times New Roman" w:eastAsia="Times New Roman" w:hAnsi="Times New Roman"/>
          <w:b/>
          <w:sz w:val="32"/>
          <w:szCs w:val="32"/>
          <w:lang w:bidi="hi-IN"/>
        </w:rPr>
      </w:pPr>
    </w:p>
    <w:p w14:paraId="13D2AB4D" w14:textId="31FA8288" w:rsidR="00EC3FF2" w:rsidRPr="00A93C59" w:rsidRDefault="00EC3FF2" w:rsidP="009C6A2C">
      <w:pPr>
        <w:spacing w:after="0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sectPr w:rsidR="00EC3FF2" w:rsidRPr="00A93C59" w:rsidSect="00654A1A">
      <w:headerReference w:type="default" r:id="rId8"/>
      <w:footerReference w:type="default" r:id="rId9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E6D0" w14:textId="77777777" w:rsidR="00A02F9F" w:rsidRDefault="00A02F9F" w:rsidP="00707333">
      <w:pPr>
        <w:spacing w:after="0" w:line="240" w:lineRule="auto"/>
      </w:pPr>
      <w:r>
        <w:separator/>
      </w:r>
    </w:p>
  </w:endnote>
  <w:endnote w:type="continuationSeparator" w:id="0">
    <w:p w14:paraId="5A1B4ADC" w14:textId="77777777" w:rsidR="00A02F9F" w:rsidRDefault="00A02F9F" w:rsidP="0070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3809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61C48F7" w14:textId="77777777" w:rsidR="003C0876" w:rsidRPr="003C0876" w:rsidRDefault="003C0876">
        <w:pPr>
          <w:pStyle w:val="Footer"/>
          <w:jc w:val="right"/>
          <w:rPr>
            <w:rFonts w:ascii="Times New Roman" w:hAnsi="Times New Roman" w:cs="Times New Roman"/>
          </w:rPr>
        </w:pPr>
        <w:r w:rsidRPr="003C0876">
          <w:rPr>
            <w:rFonts w:ascii="Times New Roman" w:hAnsi="Times New Roman" w:cs="Times New Roman"/>
          </w:rPr>
          <w:fldChar w:fldCharType="begin"/>
        </w:r>
        <w:r w:rsidRPr="003C0876">
          <w:rPr>
            <w:rFonts w:ascii="Times New Roman" w:hAnsi="Times New Roman" w:cs="Times New Roman"/>
          </w:rPr>
          <w:instrText xml:space="preserve"> PAGE   \* MERGEFORMAT </w:instrText>
        </w:r>
        <w:r w:rsidRPr="003C0876">
          <w:rPr>
            <w:rFonts w:ascii="Times New Roman" w:hAnsi="Times New Roman" w:cs="Times New Roman"/>
          </w:rPr>
          <w:fldChar w:fldCharType="separate"/>
        </w:r>
        <w:r w:rsidR="00EE0EBB">
          <w:rPr>
            <w:rFonts w:ascii="Times New Roman" w:hAnsi="Times New Roman" w:cs="Times New Roman"/>
            <w:noProof/>
          </w:rPr>
          <w:t>1</w:t>
        </w:r>
        <w:r w:rsidRPr="003C08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27F1F0" w14:textId="77777777" w:rsidR="003C0876" w:rsidRDefault="003C0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743A" w14:textId="77777777" w:rsidR="00A02F9F" w:rsidRDefault="00A02F9F" w:rsidP="00707333">
      <w:pPr>
        <w:spacing w:after="0" w:line="240" w:lineRule="auto"/>
      </w:pPr>
      <w:r>
        <w:separator/>
      </w:r>
    </w:p>
  </w:footnote>
  <w:footnote w:type="continuationSeparator" w:id="0">
    <w:p w14:paraId="51F04B68" w14:textId="77777777" w:rsidR="00A02F9F" w:rsidRDefault="00A02F9F" w:rsidP="0070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626F43" w:rsidRPr="00707333" w14:paraId="22706608" w14:textId="77777777" w:rsidTr="00B96FF8">
      <w:trPr>
        <w:trHeight w:val="1343"/>
      </w:trPr>
      <w:tc>
        <w:tcPr>
          <w:tcW w:w="1668" w:type="dxa"/>
        </w:tcPr>
        <w:p w14:paraId="3C96006F" w14:textId="77777777" w:rsidR="00626F43" w:rsidRPr="00707333" w:rsidRDefault="00626F43" w:rsidP="00707333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588B5253" wp14:editId="73E22E37">
                <wp:extent cx="909511" cy="826383"/>
                <wp:effectExtent l="0" t="0" r="5080" b="0"/>
                <wp:docPr id="2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19B6B4D" w14:textId="77777777" w:rsidR="00626F43" w:rsidRPr="00707333" w:rsidRDefault="00626F43" w:rsidP="00654A1A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4D06FA73" w14:textId="77777777" w:rsidR="00626F43" w:rsidRDefault="00626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D1FE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34BB4"/>
    <w:multiLevelType w:val="multilevel"/>
    <w:tmpl w:val="EEB66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C0CB8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D6FC9"/>
    <w:multiLevelType w:val="hybridMultilevel"/>
    <w:tmpl w:val="80B650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26C0B"/>
    <w:multiLevelType w:val="multilevel"/>
    <w:tmpl w:val="7CB82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/>
        <w:color w:val="000000"/>
      </w:rPr>
    </w:lvl>
  </w:abstractNum>
  <w:abstractNum w:abstractNumId="11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E8797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534E0"/>
    <w:rsid w:val="00055DCD"/>
    <w:rsid w:val="00083DED"/>
    <w:rsid w:val="000A147A"/>
    <w:rsid w:val="000A361A"/>
    <w:rsid w:val="000B3221"/>
    <w:rsid w:val="000F5F36"/>
    <w:rsid w:val="0013107B"/>
    <w:rsid w:val="00135A47"/>
    <w:rsid w:val="00144D89"/>
    <w:rsid w:val="001578B6"/>
    <w:rsid w:val="00177E3D"/>
    <w:rsid w:val="00183076"/>
    <w:rsid w:val="0019775D"/>
    <w:rsid w:val="001D56D5"/>
    <w:rsid w:val="0023103C"/>
    <w:rsid w:val="0023255F"/>
    <w:rsid w:val="002458E4"/>
    <w:rsid w:val="0025641E"/>
    <w:rsid w:val="00260FDC"/>
    <w:rsid w:val="0031710E"/>
    <w:rsid w:val="0034289E"/>
    <w:rsid w:val="0038781E"/>
    <w:rsid w:val="003C0876"/>
    <w:rsid w:val="003C4607"/>
    <w:rsid w:val="004A435C"/>
    <w:rsid w:val="005040E1"/>
    <w:rsid w:val="00556E88"/>
    <w:rsid w:val="005660F9"/>
    <w:rsid w:val="00580771"/>
    <w:rsid w:val="00595E17"/>
    <w:rsid w:val="00626F43"/>
    <w:rsid w:val="00637CB1"/>
    <w:rsid w:val="00654A1A"/>
    <w:rsid w:val="00656654"/>
    <w:rsid w:val="006777A3"/>
    <w:rsid w:val="006B2E7F"/>
    <w:rsid w:val="006C1DFB"/>
    <w:rsid w:val="006C700B"/>
    <w:rsid w:val="006E75A2"/>
    <w:rsid w:val="006E75B6"/>
    <w:rsid w:val="00707333"/>
    <w:rsid w:val="00737561"/>
    <w:rsid w:val="00737AAF"/>
    <w:rsid w:val="00774452"/>
    <w:rsid w:val="007B2B98"/>
    <w:rsid w:val="007C5216"/>
    <w:rsid w:val="0081795A"/>
    <w:rsid w:val="00893BDB"/>
    <w:rsid w:val="00903325"/>
    <w:rsid w:val="00911298"/>
    <w:rsid w:val="009440D7"/>
    <w:rsid w:val="00991E88"/>
    <w:rsid w:val="009C632D"/>
    <w:rsid w:val="009C6A2C"/>
    <w:rsid w:val="009C6C65"/>
    <w:rsid w:val="009E743C"/>
    <w:rsid w:val="009F7648"/>
    <w:rsid w:val="00A02F9F"/>
    <w:rsid w:val="00A145BD"/>
    <w:rsid w:val="00A93C59"/>
    <w:rsid w:val="00AB03F5"/>
    <w:rsid w:val="00AB523E"/>
    <w:rsid w:val="00AD52AD"/>
    <w:rsid w:val="00AE0A45"/>
    <w:rsid w:val="00AE7B8A"/>
    <w:rsid w:val="00B65068"/>
    <w:rsid w:val="00B96FF8"/>
    <w:rsid w:val="00BB45B0"/>
    <w:rsid w:val="00BD2C59"/>
    <w:rsid w:val="00BE1110"/>
    <w:rsid w:val="00BF3F60"/>
    <w:rsid w:val="00C12A2B"/>
    <w:rsid w:val="00C315FA"/>
    <w:rsid w:val="00C37118"/>
    <w:rsid w:val="00C623A8"/>
    <w:rsid w:val="00CA271D"/>
    <w:rsid w:val="00CB604F"/>
    <w:rsid w:val="00CE747B"/>
    <w:rsid w:val="00D15FE9"/>
    <w:rsid w:val="00D60785"/>
    <w:rsid w:val="00D93020"/>
    <w:rsid w:val="00D960A3"/>
    <w:rsid w:val="00DA1F08"/>
    <w:rsid w:val="00DA3655"/>
    <w:rsid w:val="00DC72A4"/>
    <w:rsid w:val="00DF048A"/>
    <w:rsid w:val="00E0700F"/>
    <w:rsid w:val="00E25962"/>
    <w:rsid w:val="00E74FF5"/>
    <w:rsid w:val="00E7776F"/>
    <w:rsid w:val="00E81DC7"/>
    <w:rsid w:val="00EC3FF2"/>
    <w:rsid w:val="00EE0EBB"/>
    <w:rsid w:val="00EE1B4B"/>
    <w:rsid w:val="00F3728C"/>
    <w:rsid w:val="00F418E0"/>
    <w:rsid w:val="00F910F7"/>
    <w:rsid w:val="00F94426"/>
    <w:rsid w:val="00F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B1D6"/>
  <w15:docId w15:val="{CF7DF4CB-050F-4833-B6AA-7AAD6FE2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0A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3"/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3"/>
  </w:style>
  <w:style w:type="table" w:customStyle="1" w:styleId="TableGrid1">
    <w:name w:val="Table Grid1"/>
    <w:basedOn w:val="TableNormal"/>
    <w:next w:val="TableGrid"/>
    <w:uiPriority w:val="59"/>
    <w:rsid w:val="0070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F4EA-BE99-4308-9C8C-2B675B01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Vaibhav HASE</cp:lastModifiedBy>
  <cp:revision>6</cp:revision>
  <cp:lastPrinted>2021-04-29T02:15:00Z</cp:lastPrinted>
  <dcterms:created xsi:type="dcterms:W3CDTF">2021-04-29T02:08:00Z</dcterms:created>
  <dcterms:modified xsi:type="dcterms:W3CDTF">2022-03-28T11:55:00Z</dcterms:modified>
</cp:coreProperties>
</file>